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B3A8" w14:textId="77777777" w:rsidR="00247A75" w:rsidRDefault="00000000">
      <w:pPr>
        <w:pStyle w:val="Title"/>
      </w:pPr>
      <w:r>
        <w:t>Dividend Track Record Factor</w:t>
      </w:r>
    </w:p>
    <w:p w14:paraId="0A0DF8AB" w14:textId="77777777" w:rsidR="00247A75" w:rsidRDefault="00000000">
      <w:pPr>
        <w:spacing w:after="60"/>
      </w:pPr>
      <w:r>
        <w:rPr>
          <w:color w:val="666666"/>
          <w:sz w:val="28"/>
          <w:szCs w:val="28"/>
        </w:rPr>
        <w:t>Design Analysis &amp; Parameter Calibration</w:t>
      </w:r>
    </w:p>
    <w:p w14:paraId="5927FDD1" w14:textId="77777777" w:rsidR="00C8229A" w:rsidRDefault="00C8229A">
      <w:pPr>
        <w:spacing w:before="200" w:after="40"/>
        <w:rPr>
          <w:b/>
          <w:bCs/>
          <w:color w:val="666666"/>
          <w:sz w:val="20"/>
          <w:szCs w:val="20"/>
        </w:rPr>
      </w:pPr>
    </w:p>
    <w:p w14:paraId="40BA0F93" w14:textId="4C7900FE" w:rsidR="00247A75" w:rsidRDefault="00000000">
      <w:pPr>
        <w:spacing w:before="200" w:after="40"/>
      </w:pPr>
      <w:r>
        <w:rPr>
          <w:b/>
          <w:bCs/>
          <w:color w:val="666666"/>
          <w:sz w:val="20"/>
          <w:szCs w:val="20"/>
        </w:rPr>
        <w:t xml:space="preserve">Date: </w:t>
      </w:r>
      <w:r>
        <w:rPr>
          <w:sz w:val="20"/>
          <w:szCs w:val="20"/>
        </w:rPr>
        <w:t>February 16, 2026</w:t>
      </w:r>
    </w:p>
    <w:p w14:paraId="3CF44555" w14:textId="51873E97" w:rsidR="00247A75" w:rsidRDefault="00000000">
      <w:pPr>
        <w:spacing w:after="40"/>
      </w:pPr>
      <w:r>
        <w:rPr>
          <w:b/>
          <w:bCs/>
          <w:color w:val="666666"/>
          <w:sz w:val="20"/>
          <w:szCs w:val="20"/>
        </w:rPr>
        <w:t>Author:</w:t>
      </w:r>
      <w:r w:rsidR="00C8229A">
        <w:rPr>
          <w:b/>
          <w:bCs/>
          <w:color w:val="666666"/>
          <w:sz w:val="20"/>
          <w:szCs w:val="20"/>
        </w:rPr>
        <w:t xml:space="preserve"> </w:t>
      </w:r>
      <w:r w:rsidR="005732BC">
        <w:rPr>
          <w:sz w:val="20"/>
          <w:szCs w:val="20"/>
        </w:rPr>
        <w:t>Alexandre</w:t>
      </w:r>
    </w:p>
    <w:p w14:paraId="021499EF" w14:textId="77777777" w:rsidR="00247A75" w:rsidRDefault="00000000">
      <w:pPr>
        <w:spacing w:after="40"/>
      </w:pPr>
      <w:r>
        <w:rPr>
          <w:b/>
          <w:bCs/>
          <w:color w:val="666666"/>
          <w:sz w:val="20"/>
          <w:szCs w:val="20"/>
        </w:rPr>
        <w:t xml:space="preserve">Status: </w:t>
      </w:r>
      <w:r>
        <w:rPr>
          <w:color w:val="2E7D32"/>
          <w:sz w:val="20"/>
          <w:szCs w:val="20"/>
        </w:rPr>
        <w:t>Approved for implementation</w:t>
      </w:r>
    </w:p>
    <w:p w14:paraId="6B62274F" w14:textId="77777777" w:rsidR="00247A75" w:rsidRDefault="00000000">
      <w:pPr>
        <w:spacing w:after="200"/>
      </w:pPr>
      <w:r>
        <w:rPr>
          <w:b/>
          <w:bCs/>
          <w:color w:val="666666"/>
          <w:sz w:val="20"/>
          <w:szCs w:val="20"/>
        </w:rPr>
        <w:t xml:space="preserve">Dataset: </w:t>
      </w:r>
      <w:r>
        <w:rPr>
          <w:sz w:val="20"/>
          <w:szCs w:val="20"/>
        </w:rPr>
        <w:t>174 tickers from Dividend Radar opportunities watchlist</w:t>
      </w:r>
    </w:p>
    <w:p w14:paraId="2F8AF877" w14:textId="77777777" w:rsidR="00247A75" w:rsidRDefault="00000000">
      <w:pPr>
        <w:pStyle w:val="Heading1"/>
      </w:pPr>
      <w:r>
        <w:t>Overview</w:t>
      </w:r>
    </w:p>
    <w:p w14:paraId="016AB3E4" w14:textId="77777777" w:rsidR="00247A75" w:rsidRDefault="00000000">
      <w:pPr>
        <w:spacing w:after="120"/>
      </w:pPr>
      <w:r>
        <w:t>Before adding a "Dividend Track Record" scoring factor to Dividend Radar, we needed to answer two questions:</w:t>
      </w:r>
    </w:p>
    <w:p w14:paraId="7583F051" w14:textId="77777777" w:rsidR="00247A75" w:rsidRDefault="00000000">
      <w:pPr>
        <w:pStyle w:val="ListParagraph"/>
        <w:numPr>
          <w:ilvl w:val="0"/>
          <w:numId w:val="2"/>
        </w:numPr>
      </w:pPr>
      <w:r>
        <w:rPr>
          <w:b/>
          <w:bCs/>
        </w:rPr>
        <w:t xml:space="preserve">Cut tolerance: </w:t>
      </w:r>
      <w:r>
        <w:t>How much of a year-over-year dividend decrease should we ignore as normal noise before calling it a "cut"?</w:t>
      </w:r>
    </w:p>
    <w:p w14:paraId="61A73FFF" w14:textId="77777777" w:rsidR="00247A75" w:rsidRDefault="00000000">
      <w:pPr>
        <w:pStyle w:val="ListParagraph"/>
        <w:numPr>
          <w:ilvl w:val="0"/>
          <w:numId w:val="2"/>
        </w:numPr>
        <w:spacing w:after="120"/>
      </w:pPr>
      <w:r>
        <w:rPr>
          <w:b/>
          <w:bCs/>
        </w:rPr>
        <w:t xml:space="preserve">Age fairness: </w:t>
      </w:r>
      <w:r>
        <w:t>How do we prevent a brand-new fund with a short perfect record from scoring the same as a veteran that survived decades of market cycles?</w:t>
      </w:r>
    </w:p>
    <w:p w14:paraId="684F06A8" w14:textId="77777777" w:rsidR="00247A75" w:rsidRDefault="00000000">
      <w:pPr>
        <w:spacing w:after="200"/>
      </w:pPr>
      <w:r>
        <w:t>We ran data-driven analyses across 174 tickers (CEFs, BDCs, REITs, income ETFs, and traditional dividend stocks) to answer each question. This document presents the problem, methodology, results, and rationale for each decision.</w:t>
      </w:r>
    </w:p>
    <w:p w14:paraId="3ABF3FE3" w14:textId="77777777" w:rsidR="00247A75" w:rsidRDefault="00000000">
      <w:r>
        <w:br w:type="page"/>
      </w:r>
    </w:p>
    <w:p w14:paraId="5602ADAC" w14:textId="77777777" w:rsidR="00247A75" w:rsidRDefault="00000000">
      <w:pPr>
        <w:pStyle w:val="Heading1"/>
      </w:pPr>
      <w:r>
        <w:lastRenderedPageBreak/>
        <w:t>Analysis 1: Cut Tolerance Calibration</w:t>
      </w:r>
    </w:p>
    <w:p w14:paraId="3FCD80E4" w14:textId="77777777" w:rsidR="00247A75" w:rsidRDefault="00000000">
      <w:pPr>
        <w:pStyle w:val="Heading2"/>
      </w:pPr>
      <w:r>
        <w:t>Problem</w:t>
      </w:r>
    </w:p>
    <w:p w14:paraId="49D689C3" w14:textId="77777777" w:rsidR="00247A75" w:rsidRDefault="00000000">
      <w:pPr>
        <w:spacing w:after="120"/>
      </w:pPr>
      <w:r>
        <w:t>A "dividend cut" needs a precise quantitative definition. If a fund paid $2.98 one year and $2.85 the next (−4.4%), is that a real cut or normal payout variability?</w:t>
      </w:r>
    </w:p>
    <w:p w14:paraId="466FDD00" w14:textId="77777777" w:rsidR="00247A75" w:rsidRDefault="00000000">
      <w:pPr>
        <w:spacing w:after="120"/>
      </w:pPr>
      <w:r>
        <w:t>This distinction is critical for income-oriented securities. CEFs, BDCs, REITs, and income ETFs commonly have small year-over-year fluctuations due to:</w:t>
      </w:r>
    </w:p>
    <w:p w14:paraId="4C7E16B3" w14:textId="77777777" w:rsidR="00247A75" w:rsidRDefault="00000000">
      <w:pPr>
        <w:pStyle w:val="ListParagraph"/>
        <w:numPr>
          <w:ilvl w:val="0"/>
          <w:numId w:val="3"/>
        </w:numPr>
      </w:pPr>
      <w:r>
        <w:t>Timing shifts in ex-dividend dates across calendar year boundaries</w:t>
      </w:r>
    </w:p>
    <w:p w14:paraId="1C39B8BB" w14:textId="77777777" w:rsidR="00247A75" w:rsidRDefault="00000000">
      <w:pPr>
        <w:pStyle w:val="ListParagraph"/>
        <w:numPr>
          <w:ilvl w:val="0"/>
          <w:numId w:val="3"/>
        </w:numPr>
      </w:pPr>
      <w:r>
        <w:t>Return-of-capital distribution adjustments</w:t>
      </w:r>
    </w:p>
    <w:p w14:paraId="6D70A064" w14:textId="77777777" w:rsidR="00247A75" w:rsidRDefault="00000000">
      <w:pPr>
        <w:pStyle w:val="ListParagraph"/>
        <w:numPr>
          <w:ilvl w:val="0"/>
          <w:numId w:val="3"/>
        </w:numPr>
      </w:pPr>
      <w:r>
        <w:t>FX-driven fluctuations for international ADRs (e.g., BTI)</w:t>
      </w:r>
    </w:p>
    <w:p w14:paraId="14C620F4" w14:textId="77777777" w:rsidR="00247A75" w:rsidRDefault="00000000">
      <w:pPr>
        <w:pStyle w:val="ListParagraph"/>
        <w:numPr>
          <w:ilvl w:val="0"/>
          <w:numId w:val="3"/>
        </w:numPr>
        <w:spacing w:after="120"/>
      </w:pPr>
      <w:r>
        <w:t>Distribution smoothing policies in closed-end funds</w:t>
      </w:r>
    </w:p>
    <w:p w14:paraId="0FEAF79A" w14:textId="77777777" w:rsidR="00247A75" w:rsidRDefault="00000000">
      <w:pPr>
        <w:spacing w:after="200"/>
      </w:pPr>
      <w:r>
        <w:t>A tolerance that is too tight would flag this normal variability as "cuts," penalizing quality income securities. Too loose and genuine deterioration goes undetected.</w:t>
      </w:r>
    </w:p>
    <w:p w14:paraId="442982F2" w14:textId="77777777" w:rsidR="00247A75" w:rsidRDefault="00000000">
      <w:pPr>
        <w:pStyle w:val="Heading2"/>
      </w:pPr>
      <w:r>
        <w:t>Methodology</w:t>
      </w:r>
    </w:p>
    <w:p w14:paraId="07915A01" w14:textId="77777777" w:rsidR="00247A75" w:rsidRDefault="00000000">
      <w:pPr>
        <w:spacing w:after="80"/>
      </w:pPr>
      <w:r>
        <w:t>We fetched complete dividend history for all 174 tickers via the yfinance API (</w:t>
      </w:r>
      <w:r>
        <w:rPr>
          <w:i/>
          <w:iCs/>
        </w:rPr>
        <w:t>yf.Ticker(ticker).dividends</w:t>
      </w:r>
      <w:r>
        <w:t>). For each ticker, we summed all dividend payments within each calendar year to get one annual total per year, then calculated the no-cut streak at four tolerance levels: 5%, 10%, 15%, and 20%.</w:t>
      </w:r>
    </w:p>
    <w:p w14:paraId="6E3694E7" w14:textId="77777777" w:rsidR="00247A75" w:rsidRDefault="00000000">
      <w:pPr>
        <w:spacing w:after="80"/>
      </w:pPr>
      <w:r>
        <w:t xml:space="preserve">The </w:t>
      </w:r>
      <w:r>
        <w:rPr>
          <w:b/>
          <w:bCs/>
        </w:rPr>
        <w:t>no-cut streak</w:t>
      </w:r>
      <w:r>
        <w:t xml:space="preserve"> counts consecutive years (working backward from the most recent complete year) where the annual dividend total did not decrease by more than the tolerance percentage.</w:t>
      </w:r>
    </w:p>
    <w:p w14:paraId="3EFB5921" w14:textId="77777777" w:rsidR="00247A75" w:rsidRDefault="00000000">
      <w:pPr>
        <w:spacing w:after="200"/>
      </w:pPr>
      <w:r>
        <w:rPr>
          <w:i/>
          <w:iCs/>
          <w:color w:val="666666"/>
        </w:rPr>
        <w:t>Example: If a fund paid $3.00 in 2022, $3.10 in 2023, and $2.60 in 2024, the 2024 drop is −13.3%. At 10% tolerance that counts as a cut (13.3% &gt; 10%), so the streak would be 0 — the most recent year was a cut. At 15% tolerance, it would not count as a cut (13.3% &lt; 15%), so the streak would continue.</w:t>
      </w:r>
    </w:p>
    <w:p w14:paraId="4B972087" w14:textId="77777777" w:rsidR="00247A75" w:rsidRDefault="00000000">
      <w:pPr>
        <w:pStyle w:val="Heading2"/>
      </w:pPr>
      <w:r>
        <w:t>Results: Score Distribution</w:t>
      </w:r>
    </w:p>
    <w:p w14:paraId="7FC7B734" w14:textId="77777777" w:rsidR="00247A75" w:rsidRDefault="00000000">
      <w:pPr>
        <w:spacing w:after="120"/>
      </w:pPr>
      <w:r>
        <w:t>Each ticker's no-cut streak (in years) is converted to a rank score: a streak of 0 years scores 0.0, 1–2 years scores 0.3, 3–6 years scores 0.7, and 7+ years scores 1.0. The table below shows how many of the 158 tickers fall into each rank at each tolerance level:</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5"/>
        <w:gridCol w:w="1804"/>
        <w:gridCol w:w="1805"/>
        <w:gridCol w:w="1805"/>
        <w:gridCol w:w="1805"/>
      </w:tblGrid>
      <w:tr w:rsidR="00247A75" w14:paraId="68DC4E57" w14:textId="77777777">
        <w:tc>
          <w:tcPr>
            <w:tcW w:w="1872"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2BCC2FC4" w14:textId="77777777" w:rsidR="00247A75" w:rsidRDefault="00000000">
            <w:pPr>
              <w:spacing w:before="60" w:after="60"/>
              <w:jc w:val="center"/>
            </w:pPr>
            <w:r>
              <w:rPr>
                <w:b/>
                <w:bCs/>
                <w:color w:val="FFFFFF"/>
                <w:sz w:val="18"/>
                <w:szCs w:val="18"/>
              </w:rPr>
              <w:t>Rank (streak)</w:t>
            </w:r>
          </w:p>
        </w:tc>
        <w:tc>
          <w:tcPr>
            <w:tcW w:w="1872"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53513F01" w14:textId="77777777" w:rsidR="00247A75" w:rsidRDefault="00000000">
            <w:pPr>
              <w:spacing w:before="60" w:after="60"/>
              <w:jc w:val="center"/>
            </w:pPr>
            <w:r>
              <w:rPr>
                <w:b/>
                <w:bCs/>
                <w:color w:val="FFFFFF"/>
                <w:sz w:val="18"/>
                <w:szCs w:val="18"/>
              </w:rPr>
              <w:t>5% tol</w:t>
            </w:r>
          </w:p>
        </w:tc>
        <w:tc>
          <w:tcPr>
            <w:tcW w:w="1872"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6EEAEA2B" w14:textId="77777777" w:rsidR="00247A75" w:rsidRDefault="00000000">
            <w:pPr>
              <w:spacing w:before="60" w:after="60"/>
              <w:jc w:val="center"/>
            </w:pPr>
            <w:r>
              <w:rPr>
                <w:b/>
                <w:bCs/>
                <w:color w:val="FFFFFF"/>
                <w:sz w:val="18"/>
                <w:szCs w:val="18"/>
              </w:rPr>
              <w:t>10% tol</w:t>
            </w:r>
          </w:p>
        </w:tc>
        <w:tc>
          <w:tcPr>
            <w:tcW w:w="1872"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45266789" w14:textId="77777777" w:rsidR="00247A75" w:rsidRDefault="00000000">
            <w:pPr>
              <w:spacing w:before="60" w:after="60"/>
              <w:jc w:val="center"/>
            </w:pPr>
            <w:r>
              <w:rPr>
                <w:b/>
                <w:bCs/>
                <w:color w:val="FFFFFF"/>
                <w:sz w:val="18"/>
                <w:szCs w:val="18"/>
              </w:rPr>
              <w:t>15% tol</w:t>
            </w:r>
          </w:p>
        </w:tc>
        <w:tc>
          <w:tcPr>
            <w:tcW w:w="1872"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6D5ECC9B" w14:textId="77777777" w:rsidR="00247A75" w:rsidRDefault="00000000">
            <w:pPr>
              <w:spacing w:before="60" w:after="60"/>
              <w:jc w:val="center"/>
            </w:pPr>
            <w:r>
              <w:rPr>
                <w:b/>
                <w:bCs/>
                <w:color w:val="FFFFFF"/>
                <w:sz w:val="18"/>
                <w:szCs w:val="18"/>
              </w:rPr>
              <w:t>20% tol</w:t>
            </w:r>
          </w:p>
        </w:tc>
      </w:tr>
      <w:tr w:rsidR="00247A75" w14:paraId="5CF0E9DA" w14:textId="77777777">
        <w:tc>
          <w:tcPr>
            <w:tcW w:w="1872" w:type="dxa"/>
            <w:tcBorders>
              <w:top w:val="single" w:sz="1" w:space="0" w:color="CCCCCC"/>
              <w:left w:val="single" w:sz="1" w:space="0" w:color="CCCCCC"/>
              <w:bottom w:val="single" w:sz="1" w:space="0" w:color="CCCCCC"/>
              <w:right w:val="single" w:sz="1" w:space="0" w:color="CCCCCC"/>
            </w:tcBorders>
            <w:vAlign w:val="center"/>
          </w:tcPr>
          <w:p w14:paraId="66B65F82" w14:textId="77777777" w:rsidR="00247A75" w:rsidRDefault="00000000">
            <w:pPr>
              <w:spacing w:before="40" w:after="40"/>
              <w:jc w:val="center"/>
            </w:pPr>
            <w:r>
              <w:rPr>
                <w:b/>
                <w:bCs/>
                <w:sz w:val="18"/>
                <w:szCs w:val="18"/>
              </w:rPr>
              <w:t>0.0 — 0yr streak</w:t>
            </w:r>
          </w:p>
        </w:tc>
        <w:tc>
          <w:tcPr>
            <w:tcW w:w="1872" w:type="dxa"/>
            <w:tcBorders>
              <w:top w:val="single" w:sz="1" w:space="0" w:color="CCCCCC"/>
              <w:left w:val="single" w:sz="1" w:space="0" w:color="CCCCCC"/>
              <w:bottom w:val="single" w:sz="1" w:space="0" w:color="CCCCCC"/>
              <w:right w:val="single" w:sz="1" w:space="0" w:color="CCCCCC"/>
            </w:tcBorders>
            <w:vAlign w:val="center"/>
          </w:tcPr>
          <w:p w14:paraId="7D7ADA63" w14:textId="77777777" w:rsidR="00247A75" w:rsidRDefault="00000000">
            <w:pPr>
              <w:spacing w:before="40" w:after="40"/>
              <w:jc w:val="center"/>
            </w:pPr>
            <w:r>
              <w:rPr>
                <w:sz w:val="18"/>
                <w:szCs w:val="18"/>
              </w:rPr>
              <w:t>20 (12.7%)</w:t>
            </w:r>
          </w:p>
        </w:tc>
        <w:tc>
          <w:tcPr>
            <w:tcW w:w="1872" w:type="dxa"/>
            <w:tcBorders>
              <w:top w:val="single" w:sz="1" w:space="0" w:color="CCCCCC"/>
              <w:left w:val="single" w:sz="1" w:space="0" w:color="CCCCCC"/>
              <w:bottom w:val="single" w:sz="1" w:space="0" w:color="CCCCCC"/>
              <w:right w:val="single" w:sz="1" w:space="0" w:color="CCCCCC"/>
            </w:tcBorders>
            <w:vAlign w:val="center"/>
          </w:tcPr>
          <w:p w14:paraId="6D18F1D6" w14:textId="77777777" w:rsidR="00247A75" w:rsidRDefault="00000000">
            <w:pPr>
              <w:spacing w:before="40" w:after="40"/>
              <w:jc w:val="center"/>
            </w:pPr>
            <w:r>
              <w:rPr>
                <w:sz w:val="18"/>
                <w:szCs w:val="18"/>
              </w:rPr>
              <w:t>16 (10.1%)</w:t>
            </w:r>
          </w:p>
        </w:tc>
        <w:tc>
          <w:tcPr>
            <w:tcW w:w="1872" w:type="dxa"/>
            <w:tcBorders>
              <w:top w:val="single" w:sz="1" w:space="0" w:color="CCCCCC"/>
              <w:left w:val="single" w:sz="1" w:space="0" w:color="CCCCCC"/>
              <w:bottom w:val="single" w:sz="1" w:space="0" w:color="CCCCCC"/>
              <w:right w:val="single" w:sz="1" w:space="0" w:color="CCCCCC"/>
            </w:tcBorders>
            <w:vAlign w:val="center"/>
          </w:tcPr>
          <w:p w14:paraId="710291E8" w14:textId="77777777" w:rsidR="00247A75" w:rsidRDefault="00000000">
            <w:pPr>
              <w:spacing w:before="40" w:after="40"/>
              <w:jc w:val="center"/>
            </w:pPr>
            <w:r>
              <w:rPr>
                <w:sz w:val="18"/>
                <w:szCs w:val="18"/>
              </w:rPr>
              <w:t>9 (5.7%)</w:t>
            </w:r>
          </w:p>
        </w:tc>
        <w:tc>
          <w:tcPr>
            <w:tcW w:w="1872" w:type="dxa"/>
            <w:tcBorders>
              <w:top w:val="single" w:sz="1" w:space="0" w:color="CCCCCC"/>
              <w:left w:val="single" w:sz="1" w:space="0" w:color="CCCCCC"/>
              <w:bottom w:val="single" w:sz="1" w:space="0" w:color="CCCCCC"/>
              <w:right w:val="single" w:sz="1" w:space="0" w:color="CCCCCC"/>
            </w:tcBorders>
            <w:vAlign w:val="center"/>
          </w:tcPr>
          <w:p w14:paraId="0AA4522B" w14:textId="77777777" w:rsidR="00247A75" w:rsidRDefault="00000000">
            <w:pPr>
              <w:spacing w:before="40" w:after="40"/>
              <w:jc w:val="center"/>
            </w:pPr>
            <w:r>
              <w:rPr>
                <w:sz w:val="18"/>
                <w:szCs w:val="18"/>
              </w:rPr>
              <w:t>4 (2.5%)</w:t>
            </w:r>
          </w:p>
        </w:tc>
      </w:tr>
      <w:tr w:rsidR="00247A75" w14:paraId="7DEF26DF" w14:textId="77777777">
        <w:tc>
          <w:tcPr>
            <w:tcW w:w="1872" w:type="dxa"/>
            <w:tcBorders>
              <w:top w:val="single" w:sz="1" w:space="0" w:color="CCCCCC"/>
              <w:left w:val="single" w:sz="1" w:space="0" w:color="CCCCCC"/>
              <w:bottom w:val="single" w:sz="1" w:space="0" w:color="CCCCCC"/>
              <w:right w:val="single" w:sz="1" w:space="0" w:color="CCCCCC"/>
            </w:tcBorders>
            <w:vAlign w:val="center"/>
          </w:tcPr>
          <w:p w14:paraId="21482CCF" w14:textId="77777777" w:rsidR="00247A75" w:rsidRDefault="00000000">
            <w:pPr>
              <w:spacing w:before="40" w:after="40"/>
              <w:jc w:val="center"/>
            </w:pPr>
            <w:r>
              <w:rPr>
                <w:b/>
                <w:bCs/>
                <w:sz w:val="18"/>
                <w:szCs w:val="18"/>
              </w:rPr>
              <w:t>0.3 — 1–2yr streak</w:t>
            </w:r>
          </w:p>
        </w:tc>
        <w:tc>
          <w:tcPr>
            <w:tcW w:w="1872"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68EBC827" w14:textId="77777777" w:rsidR="00247A75" w:rsidRDefault="00000000">
            <w:pPr>
              <w:spacing w:before="40" w:after="40"/>
              <w:jc w:val="center"/>
            </w:pPr>
            <w:r>
              <w:rPr>
                <w:sz w:val="18"/>
                <w:szCs w:val="18"/>
              </w:rPr>
              <w:t>54 (34.2%)</w:t>
            </w:r>
          </w:p>
        </w:tc>
        <w:tc>
          <w:tcPr>
            <w:tcW w:w="1872"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386A80E5" w14:textId="77777777" w:rsidR="00247A75" w:rsidRDefault="00000000">
            <w:pPr>
              <w:spacing w:before="40" w:after="40"/>
              <w:jc w:val="center"/>
            </w:pPr>
            <w:r>
              <w:rPr>
                <w:sz w:val="18"/>
                <w:szCs w:val="18"/>
              </w:rPr>
              <w:t>44 (27.8%)</w:t>
            </w:r>
          </w:p>
        </w:tc>
        <w:tc>
          <w:tcPr>
            <w:tcW w:w="1872"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68DFAD47" w14:textId="77777777" w:rsidR="00247A75" w:rsidRDefault="00000000">
            <w:pPr>
              <w:spacing w:before="40" w:after="40"/>
              <w:jc w:val="center"/>
            </w:pPr>
            <w:r>
              <w:rPr>
                <w:sz w:val="18"/>
                <w:szCs w:val="18"/>
              </w:rPr>
              <w:t>44 (27.8%)</w:t>
            </w:r>
          </w:p>
        </w:tc>
        <w:tc>
          <w:tcPr>
            <w:tcW w:w="1872"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68075FB2" w14:textId="77777777" w:rsidR="00247A75" w:rsidRDefault="00000000">
            <w:pPr>
              <w:spacing w:before="40" w:after="40"/>
              <w:jc w:val="center"/>
            </w:pPr>
            <w:r>
              <w:rPr>
                <w:sz w:val="18"/>
                <w:szCs w:val="18"/>
              </w:rPr>
              <w:t>43 (27.2%)</w:t>
            </w:r>
          </w:p>
        </w:tc>
      </w:tr>
      <w:tr w:rsidR="00247A75" w14:paraId="70F390FF" w14:textId="77777777">
        <w:tc>
          <w:tcPr>
            <w:tcW w:w="1872" w:type="dxa"/>
            <w:tcBorders>
              <w:top w:val="single" w:sz="1" w:space="0" w:color="CCCCCC"/>
              <w:left w:val="single" w:sz="1" w:space="0" w:color="CCCCCC"/>
              <w:bottom w:val="single" w:sz="1" w:space="0" w:color="CCCCCC"/>
              <w:right w:val="single" w:sz="1" w:space="0" w:color="CCCCCC"/>
            </w:tcBorders>
            <w:vAlign w:val="center"/>
          </w:tcPr>
          <w:p w14:paraId="5AB338D7" w14:textId="77777777" w:rsidR="00247A75" w:rsidRDefault="00000000">
            <w:pPr>
              <w:spacing w:before="40" w:after="40"/>
              <w:jc w:val="center"/>
            </w:pPr>
            <w:r>
              <w:rPr>
                <w:b/>
                <w:bCs/>
                <w:sz w:val="18"/>
                <w:szCs w:val="18"/>
              </w:rPr>
              <w:t>0.7 — 3–6yr streak</w:t>
            </w:r>
          </w:p>
        </w:tc>
        <w:tc>
          <w:tcPr>
            <w:tcW w:w="1872" w:type="dxa"/>
            <w:tcBorders>
              <w:top w:val="single" w:sz="1" w:space="0" w:color="CCCCCC"/>
              <w:left w:val="single" w:sz="1" w:space="0" w:color="CCCCCC"/>
              <w:bottom w:val="single" w:sz="1" w:space="0" w:color="CCCCCC"/>
              <w:right w:val="single" w:sz="1" w:space="0" w:color="CCCCCC"/>
            </w:tcBorders>
            <w:vAlign w:val="center"/>
          </w:tcPr>
          <w:p w14:paraId="28986573" w14:textId="77777777" w:rsidR="00247A75" w:rsidRDefault="00000000">
            <w:pPr>
              <w:spacing w:before="40" w:after="40"/>
              <w:jc w:val="center"/>
            </w:pPr>
            <w:r>
              <w:rPr>
                <w:sz w:val="18"/>
                <w:szCs w:val="18"/>
              </w:rPr>
              <w:t>40 (25.3%)</w:t>
            </w:r>
          </w:p>
        </w:tc>
        <w:tc>
          <w:tcPr>
            <w:tcW w:w="1872" w:type="dxa"/>
            <w:tcBorders>
              <w:top w:val="single" w:sz="1" w:space="0" w:color="CCCCCC"/>
              <w:left w:val="single" w:sz="1" w:space="0" w:color="CCCCCC"/>
              <w:bottom w:val="single" w:sz="1" w:space="0" w:color="CCCCCC"/>
              <w:right w:val="single" w:sz="1" w:space="0" w:color="CCCCCC"/>
            </w:tcBorders>
            <w:vAlign w:val="center"/>
          </w:tcPr>
          <w:p w14:paraId="7978C258" w14:textId="77777777" w:rsidR="00247A75" w:rsidRDefault="00000000">
            <w:pPr>
              <w:spacing w:before="40" w:after="40"/>
              <w:jc w:val="center"/>
            </w:pPr>
            <w:r>
              <w:rPr>
                <w:sz w:val="18"/>
                <w:szCs w:val="18"/>
              </w:rPr>
              <w:t>42 (26.6%)</w:t>
            </w:r>
          </w:p>
        </w:tc>
        <w:tc>
          <w:tcPr>
            <w:tcW w:w="1872" w:type="dxa"/>
            <w:tcBorders>
              <w:top w:val="single" w:sz="1" w:space="0" w:color="CCCCCC"/>
              <w:left w:val="single" w:sz="1" w:space="0" w:color="CCCCCC"/>
              <w:bottom w:val="single" w:sz="1" w:space="0" w:color="CCCCCC"/>
              <w:right w:val="single" w:sz="1" w:space="0" w:color="CCCCCC"/>
            </w:tcBorders>
            <w:vAlign w:val="center"/>
          </w:tcPr>
          <w:p w14:paraId="28C49472" w14:textId="77777777" w:rsidR="00247A75" w:rsidRDefault="00000000">
            <w:pPr>
              <w:spacing w:before="40" w:after="40"/>
              <w:jc w:val="center"/>
            </w:pPr>
            <w:r>
              <w:rPr>
                <w:sz w:val="18"/>
                <w:szCs w:val="18"/>
              </w:rPr>
              <w:t>43 (27.2%)</w:t>
            </w:r>
          </w:p>
        </w:tc>
        <w:tc>
          <w:tcPr>
            <w:tcW w:w="1872" w:type="dxa"/>
            <w:tcBorders>
              <w:top w:val="single" w:sz="1" w:space="0" w:color="CCCCCC"/>
              <w:left w:val="single" w:sz="1" w:space="0" w:color="CCCCCC"/>
              <w:bottom w:val="single" w:sz="1" w:space="0" w:color="CCCCCC"/>
              <w:right w:val="single" w:sz="1" w:space="0" w:color="CCCCCC"/>
            </w:tcBorders>
            <w:vAlign w:val="center"/>
          </w:tcPr>
          <w:p w14:paraId="187F913D" w14:textId="77777777" w:rsidR="00247A75" w:rsidRDefault="00000000">
            <w:pPr>
              <w:spacing w:before="40" w:after="40"/>
              <w:jc w:val="center"/>
            </w:pPr>
            <w:r>
              <w:rPr>
                <w:sz w:val="18"/>
                <w:szCs w:val="18"/>
              </w:rPr>
              <w:t>41 (25.9%)</w:t>
            </w:r>
          </w:p>
        </w:tc>
      </w:tr>
      <w:tr w:rsidR="00247A75" w14:paraId="370F1D05" w14:textId="77777777">
        <w:tc>
          <w:tcPr>
            <w:tcW w:w="1872" w:type="dxa"/>
            <w:tcBorders>
              <w:top w:val="single" w:sz="1" w:space="0" w:color="CCCCCC"/>
              <w:left w:val="single" w:sz="1" w:space="0" w:color="CCCCCC"/>
              <w:bottom w:val="single" w:sz="1" w:space="0" w:color="CCCCCC"/>
              <w:right w:val="single" w:sz="1" w:space="0" w:color="CCCCCC"/>
            </w:tcBorders>
            <w:vAlign w:val="center"/>
          </w:tcPr>
          <w:p w14:paraId="4B0E7D8C" w14:textId="77777777" w:rsidR="00247A75" w:rsidRDefault="00000000">
            <w:pPr>
              <w:spacing w:before="40" w:after="40"/>
              <w:jc w:val="center"/>
            </w:pPr>
            <w:r>
              <w:rPr>
                <w:b/>
                <w:bCs/>
                <w:sz w:val="18"/>
                <w:szCs w:val="18"/>
              </w:rPr>
              <w:t>1.0 — 7+yr streak</w:t>
            </w:r>
          </w:p>
        </w:tc>
        <w:tc>
          <w:tcPr>
            <w:tcW w:w="1872"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05F347E4" w14:textId="77777777" w:rsidR="00247A75" w:rsidRDefault="00000000">
            <w:pPr>
              <w:spacing w:before="40" w:after="40"/>
              <w:jc w:val="center"/>
            </w:pPr>
            <w:r>
              <w:rPr>
                <w:sz w:val="18"/>
                <w:szCs w:val="18"/>
              </w:rPr>
              <w:t>44 (27.8%)</w:t>
            </w:r>
          </w:p>
        </w:tc>
        <w:tc>
          <w:tcPr>
            <w:tcW w:w="1872"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6119BC1C" w14:textId="77777777" w:rsidR="00247A75" w:rsidRDefault="00000000">
            <w:pPr>
              <w:spacing w:before="40" w:after="40"/>
              <w:jc w:val="center"/>
            </w:pPr>
            <w:r>
              <w:rPr>
                <w:sz w:val="18"/>
                <w:szCs w:val="18"/>
              </w:rPr>
              <w:t>56 (35.4%)</w:t>
            </w:r>
          </w:p>
        </w:tc>
        <w:tc>
          <w:tcPr>
            <w:tcW w:w="1872"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3352668C" w14:textId="77777777" w:rsidR="00247A75" w:rsidRDefault="00000000">
            <w:pPr>
              <w:spacing w:before="40" w:after="40"/>
              <w:jc w:val="center"/>
            </w:pPr>
            <w:r>
              <w:rPr>
                <w:sz w:val="18"/>
                <w:szCs w:val="18"/>
              </w:rPr>
              <w:t>62 (39.2%)</w:t>
            </w:r>
          </w:p>
        </w:tc>
        <w:tc>
          <w:tcPr>
            <w:tcW w:w="1872"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7B34E3AB" w14:textId="77777777" w:rsidR="00247A75" w:rsidRDefault="00000000">
            <w:pPr>
              <w:spacing w:before="40" w:after="40"/>
              <w:jc w:val="center"/>
            </w:pPr>
            <w:r>
              <w:rPr>
                <w:sz w:val="18"/>
                <w:szCs w:val="18"/>
              </w:rPr>
              <w:t>70 (44.3%)</w:t>
            </w:r>
          </w:p>
        </w:tc>
      </w:tr>
    </w:tbl>
    <w:p w14:paraId="59D91312" w14:textId="77777777" w:rsidR="00247A75" w:rsidRDefault="00000000">
      <w:pPr>
        <w:pStyle w:val="Heading2"/>
        <w:spacing w:before="300"/>
      </w:pPr>
      <w:r>
        <w:t>Results: Notable Ticker Behavior</w:t>
      </w:r>
    </w:p>
    <w:p w14:paraId="77BD739A" w14:textId="77777777" w:rsidR="00247A75" w:rsidRDefault="00000000">
      <w:pPr>
        <w:spacing w:after="120"/>
      </w:pPr>
      <w:r>
        <w:t>The table below shows how the no-cut streak changes for well-known securities at each tolerance level. The "History" column shows total years of dividend data available; the streak columns show how many consecutive recent years had no cut at that tolerance: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67"/>
        <w:gridCol w:w="1062"/>
        <w:gridCol w:w="884"/>
        <w:gridCol w:w="1526"/>
        <w:gridCol w:w="1526"/>
        <w:gridCol w:w="1526"/>
        <w:gridCol w:w="1433"/>
      </w:tblGrid>
      <w:tr w:rsidR="00247A75" w14:paraId="356E9DFB" w14:textId="77777777">
        <w:tc>
          <w:tcPr>
            <w:tcW w:w="110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3A08C186" w14:textId="77777777" w:rsidR="00247A75" w:rsidRDefault="00000000">
            <w:pPr>
              <w:spacing w:before="60" w:after="60"/>
              <w:jc w:val="center"/>
            </w:pPr>
            <w:r>
              <w:rPr>
                <w:b/>
                <w:bCs/>
                <w:color w:val="FFFFFF"/>
                <w:sz w:val="18"/>
                <w:szCs w:val="18"/>
              </w:rPr>
              <w:t>Ticker</w:t>
            </w:r>
          </w:p>
        </w:tc>
        <w:tc>
          <w:tcPr>
            <w:tcW w:w="110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7CF4FEC7" w14:textId="77777777" w:rsidR="00247A75" w:rsidRDefault="00000000">
            <w:pPr>
              <w:spacing w:before="60" w:after="60"/>
              <w:jc w:val="center"/>
            </w:pPr>
            <w:r>
              <w:rPr>
                <w:b/>
                <w:bCs/>
                <w:color w:val="FFFFFF"/>
                <w:sz w:val="18"/>
                <w:szCs w:val="18"/>
              </w:rPr>
              <w:t>Type</w:t>
            </w:r>
          </w:p>
        </w:tc>
        <w:tc>
          <w:tcPr>
            <w:tcW w:w="90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5DDF14F9" w14:textId="77777777" w:rsidR="00247A75" w:rsidRDefault="00000000">
            <w:pPr>
              <w:spacing w:before="60" w:after="60"/>
              <w:jc w:val="center"/>
            </w:pPr>
            <w:r>
              <w:rPr>
                <w:b/>
                <w:bCs/>
                <w:color w:val="FFFFFF"/>
                <w:sz w:val="18"/>
                <w:szCs w:val="18"/>
              </w:rPr>
              <w:t>History</w:t>
            </w:r>
          </w:p>
        </w:tc>
        <w:tc>
          <w:tcPr>
            <w:tcW w:w="159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523477E3" w14:textId="77777777" w:rsidR="00247A75" w:rsidRDefault="00000000">
            <w:pPr>
              <w:spacing w:before="60" w:after="60"/>
              <w:jc w:val="center"/>
            </w:pPr>
            <w:r>
              <w:rPr>
                <w:b/>
                <w:bCs/>
                <w:color w:val="FFFFFF"/>
                <w:sz w:val="18"/>
                <w:szCs w:val="18"/>
              </w:rPr>
              <w:t>5% streak</w:t>
            </w:r>
          </w:p>
        </w:tc>
        <w:tc>
          <w:tcPr>
            <w:tcW w:w="159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41E81ABA" w14:textId="77777777" w:rsidR="00247A75" w:rsidRDefault="00000000">
            <w:pPr>
              <w:spacing w:before="60" w:after="60"/>
              <w:jc w:val="center"/>
            </w:pPr>
            <w:r>
              <w:rPr>
                <w:b/>
                <w:bCs/>
                <w:color w:val="FFFFFF"/>
                <w:sz w:val="18"/>
                <w:szCs w:val="18"/>
              </w:rPr>
              <w:t>10% streak</w:t>
            </w:r>
          </w:p>
        </w:tc>
        <w:tc>
          <w:tcPr>
            <w:tcW w:w="159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0056348E" w14:textId="77777777" w:rsidR="00247A75" w:rsidRDefault="00000000">
            <w:pPr>
              <w:spacing w:before="60" w:after="60"/>
              <w:jc w:val="center"/>
            </w:pPr>
            <w:r>
              <w:rPr>
                <w:b/>
                <w:bCs/>
                <w:color w:val="FFFFFF"/>
                <w:sz w:val="18"/>
                <w:szCs w:val="18"/>
              </w:rPr>
              <w:t>15% streak</w:t>
            </w:r>
          </w:p>
        </w:tc>
        <w:tc>
          <w:tcPr>
            <w:tcW w:w="149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062ADD0B" w14:textId="77777777" w:rsidR="00247A75" w:rsidRDefault="00000000">
            <w:pPr>
              <w:spacing w:before="60" w:after="60"/>
              <w:jc w:val="center"/>
            </w:pPr>
            <w:r>
              <w:rPr>
                <w:b/>
                <w:bCs/>
                <w:color w:val="FFFFFF"/>
                <w:sz w:val="18"/>
                <w:szCs w:val="18"/>
              </w:rPr>
              <w:t>20% streak</w:t>
            </w:r>
          </w:p>
        </w:tc>
      </w:tr>
      <w:tr w:rsidR="00247A75" w14:paraId="7A880388" w14:textId="77777777">
        <w:tc>
          <w:tcPr>
            <w:tcW w:w="1100" w:type="dxa"/>
            <w:tcBorders>
              <w:top w:val="single" w:sz="1" w:space="0" w:color="CCCCCC"/>
              <w:left w:val="single" w:sz="1" w:space="0" w:color="CCCCCC"/>
              <w:bottom w:val="single" w:sz="1" w:space="0" w:color="CCCCCC"/>
              <w:right w:val="single" w:sz="1" w:space="0" w:color="CCCCCC"/>
            </w:tcBorders>
            <w:vAlign w:val="center"/>
          </w:tcPr>
          <w:p w14:paraId="6FAF63C2" w14:textId="77777777" w:rsidR="00247A75" w:rsidRDefault="00000000">
            <w:pPr>
              <w:spacing w:before="40" w:after="40"/>
              <w:jc w:val="center"/>
            </w:pPr>
            <w:r>
              <w:rPr>
                <w:b/>
                <w:bCs/>
                <w:sz w:val="18"/>
                <w:szCs w:val="18"/>
              </w:rPr>
              <w:t>O</w:t>
            </w:r>
          </w:p>
        </w:tc>
        <w:tc>
          <w:tcPr>
            <w:tcW w:w="1100" w:type="dxa"/>
            <w:tcBorders>
              <w:top w:val="single" w:sz="1" w:space="0" w:color="CCCCCC"/>
              <w:left w:val="single" w:sz="1" w:space="0" w:color="CCCCCC"/>
              <w:bottom w:val="single" w:sz="1" w:space="0" w:color="CCCCCC"/>
              <w:right w:val="single" w:sz="1" w:space="0" w:color="CCCCCC"/>
            </w:tcBorders>
            <w:vAlign w:val="center"/>
          </w:tcPr>
          <w:p w14:paraId="3692FEAA" w14:textId="77777777" w:rsidR="00247A75" w:rsidRDefault="00000000">
            <w:pPr>
              <w:spacing w:before="40" w:after="40"/>
              <w:jc w:val="center"/>
            </w:pPr>
            <w:r>
              <w:rPr>
                <w:sz w:val="18"/>
                <w:szCs w:val="18"/>
              </w:rPr>
              <w:t>REIT</w:t>
            </w:r>
          </w:p>
        </w:tc>
        <w:tc>
          <w:tcPr>
            <w:tcW w:w="900" w:type="dxa"/>
            <w:tcBorders>
              <w:top w:val="single" w:sz="1" w:space="0" w:color="CCCCCC"/>
              <w:left w:val="single" w:sz="1" w:space="0" w:color="CCCCCC"/>
              <w:bottom w:val="single" w:sz="1" w:space="0" w:color="CCCCCC"/>
              <w:right w:val="single" w:sz="1" w:space="0" w:color="CCCCCC"/>
            </w:tcBorders>
            <w:vAlign w:val="center"/>
          </w:tcPr>
          <w:p w14:paraId="40409CE5" w14:textId="77777777" w:rsidR="00247A75" w:rsidRDefault="00000000">
            <w:pPr>
              <w:spacing w:before="40" w:after="40"/>
              <w:jc w:val="center"/>
            </w:pPr>
            <w:r>
              <w:rPr>
                <w:sz w:val="18"/>
                <w:szCs w:val="18"/>
              </w:rPr>
              <w:t>32</w:t>
            </w:r>
          </w:p>
        </w:tc>
        <w:tc>
          <w:tcPr>
            <w:tcW w:w="1590" w:type="dxa"/>
            <w:tcBorders>
              <w:top w:val="single" w:sz="1" w:space="0" w:color="CCCCCC"/>
              <w:left w:val="single" w:sz="1" w:space="0" w:color="CCCCCC"/>
              <w:bottom w:val="single" w:sz="1" w:space="0" w:color="CCCCCC"/>
              <w:right w:val="single" w:sz="1" w:space="0" w:color="CCCCCC"/>
            </w:tcBorders>
            <w:vAlign w:val="center"/>
          </w:tcPr>
          <w:p w14:paraId="09CFCE91" w14:textId="77777777" w:rsidR="00247A75" w:rsidRDefault="00000000">
            <w:pPr>
              <w:spacing w:before="40" w:after="40"/>
              <w:jc w:val="center"/>
            </w:pPr>
            <w:r>
              <w:rPr>
                <w:color w:val="D32F2F"/>
                <w:sz w:val="18"/>
                <w:szCs w:val="18"/>
              </w:rPr>
              <w:t>1</w:t>
            </w:r>
          </w:p>
        </w:tc>
        <w:tc>
          <w:tcPr>
            <w:tcW w:w="1590" w:type="dxa"/>
            <w:tcBorders>
              <w:top w:val="single" w:sz="1" w:space="0" w:color="CCCCCC"/>
              <w:left w:val="single" w:sz="1" w:space="0" w:color="CCCCCC"/>
              <w:bottom w:val="single" w:sz="1" w:space="0" w:color="CCCCCC"/>
              <w:right w:val="single" w:sz="1" w:space="0" w:color="CCCCCC"/>
            </w:tcBorders>
            <w:vAlign w:val="center"/>
          </w:tcPr>
          <w:p w14:paraId="04344E32" w14:textId="77777777" w:rsidR="00247A75" w:rsidRDefault="00000000">
            <w:pPr>
              <w:spacing w:before="40" w:after="40"/>
              <w:jc w:val="center"/>
            </w:pPr>
            <w:r>
              <w:rPr>
                <w:color w:val="2E7D32"/>
                <w:sz w:val="18"/>
                <w:szCs w:val="18"/>
              </w:rPr>
              <w:t>29</w:t>
            </w:r>
          </w:p>
        </w:tc>
        <w:tc>
          <w:tcPr>
            <w:tcW w:w="1590" w:type="dxa"/>
            <w:tcBorders>
              <w:top w:val="single" w:sz="1" w:space="0" w:color="CCCCCC"/>
              <w:left w:val="single" w:sz="1" w:space="0" w:color="CCCCCC"/>
              <w:bottom w:val="single" w:sz="1" w:space="0" w:color="CCCCCC"/>
              <w:right w:val="single" w:sz="1" w:space="0" w:color="CCCCCC"/>
            </w:tcBorders>
            <w:vAlign w:val="center"/>
          </w:tcPr>
          <w:p w14:paraId="65A88C82" w14:textId="77777777" w:rsidR="00247A75" w:rsidRDefault="00000000">
            <w:pPr>
              <w:spacing w:before="40" w:after="40"/>
              <w:jc w:val="center"/>
            </w:pPr>
            <w:r>
              <w:rPr>
                <w:color w:val="2E7D32"/>
                <w:sz w:val="18"/>
                <w:szCs w:val="18"/>
              </w:rPr>
              <w:t>29</w:t>
            </w:r>
          </w:p>
        </w:tc>
        <w:tc>
          <w:tcPr>
            <w:tcW w:w="1490" w:type="dxa"/>
            <w:tcBorders>
              <w:top w:val="single" w:sz="1" w:space="0" w:color="CCCCCC"/>
              <w:left w:val="single" w:sz="1" w:space="0" w:color="CCCCCC"/>
              <w:bottom w:val="single" w:sz="1" w:space="0" w:color="CCCCCC"/>
              <w:right w:val="single" w:sz="1" w:space="0" w:color="CCCCCC"/>
            </w:tcBorders>
            <w:vAlign w:val="center"/>
          </w:tcPr>
          <w:p w14:paraId="0E2347D9" w14:textId="77777777" w:rsidR="00247A75" w:rsidRDefault="00000000">
            <w:pPr>
              <w:spacing w:before="40" w:after="40"/>
              <w:jc w:val="center"/>
            </w:pPr>
            <w:r>
              <w:rPr>
                <w:color w:val="2E7D32"/>
                <w:sz w:val="18"/>
                <w:szCs w:val="18"/>
              </w:rPr>
              <w:t>29</w:t>
            </w:r>
          </w:p>
        </w:tc>
      </w:tr>
      <w:tr w:rsidR="00247A75" w14:paraId="3F4E42DC" w14:textId="77777777">
        <w:tc>
          <w:tcPr>
            <w:tcW w:w="11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4EFC5EFC" w14:textId="77777777" w:rsidR="00247A75" w:rsidRDefault="00000000">
            <w:pPr>
              <w:spacing w:before="40" w:after="40"/>
              <w:jc w:val="center"/>
            </w:pPr>
            <w:r>
              <w:rPr>
                <w:b/>
                <w:bCs/>
                <w:sz w:val="18"/>
                <w:szCs w:val="18"/>
              </w:rPr>
              <w:t>BTI</w:t>
            </w:r>
          </w:p>
        </w:tc>
        <w:tc>
          <w:tcPr>
            <w:tcW w:w="11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42D4B6A6" w14:textId="77777777" w:rsidR="00247A75" w:rsidRDefault="00000000">
            <w:pPr>
              <w:spacing w:before="40" w:after="40"/>
              <w:jc w:val="center"/>
            </w:pPr>
            <w:r>
              <w:rPr>
                <w:sz w:val="18"/>
                <w:szCs w:val="18"/>
              </w:rPr>
              <w:t>Stock</w:t>
            </w:r>
          </w:p>
        </w:tc>
        <w:tc>
          <w:tcPr>
            <w:tcW w:w="9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756FD49F" w14:textId="77777777" w:rsidR="00247A75" w:rsidRDefault="00000000">
            <w:pPr>
              <w:spacing w:before="40" w:after="40"/>
              <w:jc w:val="center"/>
            </w:pPr>
            <w:r>
              <w:rPr>
                <w:sz w:val="18"/>
                <w:szCs w:val="18"/>
              </w:rPr>
              <w:t>39</w:t>
            </w:r>
          </w:p>
        </w:tc>
        <w:tc>
          <w:tcPr>
            <w:tcW w:w="159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5E3CBB31" w14:textId="77777777" w:rsidR="00247A75" w:rsidRDefault="00000000">
            <w:pPr>
              <w:spacing w:before="40" w:after="40"/>
              <w:jc w:val="center"/>
            </w:pPr>
            <w:r>
              <w:rPr>
                <w:color w:val="D32F2F"/>
                <w:sz w:val="18"/>
                <w:szCs w:val="18"/>
              </w:rPr>
              <w:t>2</w:t>
            </w:r>
          </w:p>
        </w:tc>
        <w:tc>
          <w:tcPr>
            <w:tcW w:w="159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5AE62223" w14:textId="77777777" w:rsidR="00247A75" w:rsidRDefault="00000000">
            <w:pPr>
              <w:spacing w:before="40" w:after="40"/>
              <w:jc w:val="center"/>
            </w:pPr>
            <w:r>
              <w:rPr>
                <w:color w:val="2E7D32"/>
                <w:sz w:val="18"/>
                <w:szCs w:val="18"/>
              </w:rPr>
              <w:t>27</w:t>
            </w:r>
          </w:p>
        </w:tc>
        <w:tc>
          <w:tcPr>
            <w:tcW w:w="159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49B882AA" w14:textId="77777777" w:rsidR="00247A75" w:rsidRDefault="00000000">
            <w:pPr>
              <w:spacing w:before="40" w:after="40"/>
              <w:jc w:val="center"/>
            </w:pPr>
            <w:r>
              <w:rPr>
                <w:color w:val="2E7D32"/>
                <w:sz w:val="18"/>
                <w:szCs w:val="18"/>
              </w:rPr>
              <w:t>27</w:t>
            </w:r>
          </w:p>
        </w:tc>
        <w:tc>
          <w:tcPr>
            <w:tcW w:w="149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46798774" w14:textId="77777777" w:rsidR="00247A75" w:rsidRDefault="00000000">
            <w:pPr>
              <w:spacing w:before="40" w:after="40"/>
              <w:jc w:val="center"/>
            </w:pPr>
            <w:r>
              <w:rPr>
                <w:color w:val="2E7D32"/>
                <w:sz w:val="18"/>
                <w:szCs w:val="18"/>
              </w:rPr>
              <w:t>27</w:t>
            </w:r>
          </w:p>
        </w:tc>
      </w:tr>
      <w:tr w:rsidR="00247A75" w14:paraId="2717A8C5" w14:textId="77777777">
        <w:tc>
          <w:tcPr>
            <w:tcW w:w="1100" w:type="dxa"/>
            <w:tcBorders>
              <w:top w:val="single" w:sz="1" w:space="0" w:color="CCCCCC"/>
              <w:left w:val="single" w:sz="1" w:space="0" w:color="CCCCCC"/>
              <w:bottom w:val="single" w:sz="1" w:space="0" w:color="CCCCCC"/>
              <w:right w:val="single" w:sz="1" w:space="0" w:color="CCCCCC"/>
            </w:tcBorders>
            <w:vAlign w:val="center"/>
          </w:tcPr>
          <w:p w14:paraId="3867C3F8" w14:textId="77777777" w:rsidR="00247A75" w:rsidRDefault="00000000">
            <w:pPr>
              <w:spacing w:before="40" w:after="40"/>
              <w:jc w:val="center"/>
            </w:pPr>
            <w:r>
              <w:rPr>
                <w:b/>
                <w:bCs/>
                <w:sz w:val="18"/>
                <w:szCs w:val="18"/>
              </w:rPr>
              <w:t>SCHD</w:t>
            </w:r>
          </w:p>
        </w:tc>
        <w:tc>
          <w:tcPr>
            <w:tcW w:w="1100" w:type="dxa"/>
            <w:tcBorders>
              <w:top w:val="single" w:sz="1" w:space="0" w:color="CCCCCC"/>
              <w:left w:val="single" w:sz="1" w:space="0" w:color="CCCCCC"/>
              <w:bottom w:val="single" w:sz="1" w:space="0" w:color="CCCCCC"/>
              <w:right w:val="single" w:sz="1" w:space="0" w:color="CCCCCC"/>
            </w:tcBorders>
            <w:vAlign w:val="center"/>
          </w:tcPr>
          <w:p w14:paraId="7FD5D6F5" w14:textId="77777777" w:rsidR="00247A75" w:rsidRDefault="00000000">
            <w:pPr>
              <w:spacing w:before="40" w:after="40"/>
              <w:jc w:val="center"/>
            </w:pPr>
            <w:r>
              <w:rPr>
                <w:sz w:val="18"/>
                <w:szCs w:val="18"/>
              </w:rPr>
              <w:t>ETF</w:t>
            </w:r>
          </w:p>
        </w:tc>
        <w:tc>
          <w:tcPr>
            <w:tcW w:w="900" w:type="dxa"/>
            <w:tcBorders>
              <w:top w:val="single" w:sz="1" w:space="0" w:color="CCCCCC"/>
              <w:left w:val="single" w:sz="1" w:space="0" w:color="CCCCCC"/>
              <w:bottom w:val="single" w:sz="1" w:space="0" w:color="CCCCCC"/>
              <w:right w:val="single" w:sz="1" w:space="0" w:color="CCCCCC"/>
            </w:tcBorders>
            <w:vAlign w:val="center"/>
          </w:tcPr>
          <w:p w14:paraId="49A47B5A" w14:textId="77777777" w:rsidR="00247A75" w:rsidRDefault="00000000">
            <w:pPr>
              <w:spacing w:before="40" w:after="40"/>
              <w:jc w:val="center"/>
            </w:pPr>
            <w:r>
              <w:rPr>
                <w:sz w:val="18"/>
                <w:szCs w:val="18"/>
              </w:rPr>
              <w:t>15</w:t>
            </w:r>
          </w:p>
        </w:tc>
        <w:tc>
          <w:tcPr>
            <w:tcW w:w="1590" w:type="dxa"/>
            <w:tcBorders>
              <w:top w:val="single" w:sz="1" w:space="0" w:color="CCCCCC"/>
              <w:left w:val="single" w:sz="1" w:space="0" w:color="CCCCCC"/>
              <w:bottom w:val="single" w:sz="1" w:space="0" w:color="CCCCCC"/>
              <w:right w:val="single" w:sz="1" w:space="0" w:color="CCCCCC"/>
            </w:tcBorders>
            <w:vAlign w:val="center"/>
          </w:tcPr>
          <w:p w14:paraId="461CF965" w14:textId="77777777" w:rsidR="00247A75" w:rsidRDefault="00000000">
            <w:pPr>
              <w:spacing w:before="40" w:after="40"/>
              <w:jc w:val="center"/>
            </w:pPr>
            <w:r>
              <w:rPr>
                <w:color w:val="2E7D32"/>
                <w:sz w:val="18"/>
                <w:szCs w:val="18"/>
              </w:rPr>
              <w:t>14</w:t>
            </w:r>
          </w:p>
        </w:tc>
        <w:tc>
          <w:tcPr>
            <w:tcW w:w="1590" w:type="dxa"/>
            <w:tcBorders>
              <w:top w:val="single" w:sz="1" w:space="0" w:color="CCCCCC"/>
              <w:left w:val="single" w:sz="1" w:space="0" w:color="CCCCCC"/>
              <w:bottom w:val="single" w:sz="1" w:space="0" w:color="CCCCCC"/>
              <w:right w:val="single" w:sz="1" w:space="0" w:color="CCCCCC"/>
            </w:tcBorders>
            <w:vAlign w:val="center"/>
          </w:tcPr>
          <w:p w14:paraId="60987F64" w14:textId="77777777" w:rsidR="00247A75" w:rsidRDefault="00000000">
            <w:pPr>
              <w:spacing w:before="40" w:after="40"/>
              <w:jc w:val="center"/>
            </w:pPr>
            <w:r>
              <w:rPr>
                <w:color w:val="2E7D32"/>
                <w:sz w:val="18"/>
                <w:szCs w:val="18"/>
              </w:rPr>
              <w:t>14</w:t>
            </w:r>
          </w:p>
        </w:tc>
        <w:tc>
          <w:tcPr>
            <w:tcW w:w="1590" w:type="dxa"/>
            <w:tcBorders>
              <w:top w:val="single" w:sz="1" w:space="0" w:color="CCCCCC"/>
              <w:left w:val="single" w:sz="1" w:space="0" w:color="CCCCCC"/>
              <w:bottom w:val="single" w:sz="1" w:space="0" w:color="CCCCCC"/>
              <w:right w:val="single" w:sz="1" w:space="0" w:color="CCCCCC"/>
            </w:tcBorders>
            <w:vAlign w:val="center"/>
          </w:tcPr>
          <w:p w14:paraId="555C0827" w14:textId="77777777" w:rsidR="00247A75" w:rsidRDefault="00000000">
            <w:pPr>
              <w:spacing w:before="40" w:after="40"/>
              <w:jc w:val="center"/>
            </w:pPr>
            <w:r>
              <w:rPr>
                <w:color w:val="2E7D32"/>
                <w:sz w:val="18"/>
                <w:szCs w:val="18"/>
              </w:rPr>
              <w:t>14</w:t>
            </w:r>
          </w:p>
        </w:tc>
        <w:tc>
          <w:tcPr>
            <w:tcW w:w="1490" w:type="dxa"/>
            <w:tcBorders>
              <w:top w:val="single" w:sz="1" w:space="0" w:color="CCCCCC"/>
              <w:left w:val="single" w:sz="1" w:space="0" w:color="CCCCCC"/>
              <w:bottom w:val="single" w:sz="1" w:space="0" w:color="CCCCCC"/>
              <w:right w:val="single" w:sz="1" w:space="0" w:color="CCCCCC"/>
            </w:tcBorders>
            <w:vAlign w:val="center"/>
          </w:tcPr>
          <w:p w14:paraId="46B19E6D" w14:textId="77777777" w:rsidR="00247A75" w:rsidRDefault="00000000">
            <w:pPr>
              <w:spacing w:before="40" w:after="40"/>
              <w:jc w:val="center"/>
            </w:pPr>
            <w:r>
              <w:rPr>
                <w:color w:val="2E7D32"/>
                <w:sz w:val="18"/>
                <w:szCs w:val="18"/>
              </w:rPr>
              <w:t>14</w:t>
            </w:r>
          </w:p>
        </w:tc>
      </w:tr>
      <w:tr w:rsidR="00247A75" w14:paraId="7B85D7B3" w14:textId="77777777">
        <w:tc>
          <w:tcPr>
            <w:tcW w:w="11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51B259FE" w14:textId="77777777" w:rsidR="00247A75" w:rsidRDefault="00000000">
            <w:pPr>
              <w:spacing w:before="40" w:after="40"/>
              <w:jc w:val="center"/>
            </w:pPr>
            <w:r>
              <w:rPr>
                <w:b/>
                <w:bCs/>
                <w:sz w:val="18"/>
                <w:szCs w:val="18"/>
              </w:rPr>
              <w:t>ARCC</w:t>
            </w:r>
          </w:p>
        </w:tc>
        <w:tc>
          <w:tcPr>
            <w:tcW w:w="11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4233499A" w14:textId="77777777" w:rsidR="00247A75" w:rsidRDefault="00000000">
            <w:pPr>
              <w:spacing w:before="40" w:after="40"/>
              <w:jc w:val="center"/>
            </w:pPr>
            <w:r>
              <w:rPr>
                <w:sz w:val="18"/>
                <w:szCs w:val="18"/>
              </w:rPr>
              <w:t>BDC</w:t>
            </w:r>
          </w:p>
        </w:tc>
        <w:tc>
          <w:tcPr>
            <w:tcW w:w="9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449B7B1A" w14:textId="77777777" w:rsidR="00247A75" w:rsidRDefault="00000000">
            <w:pPr>
              <w:spacing w:before="40" w:after="40"/>
              <w:jc w:val="center"/>
            </w:pPr>
            <w:r>
              <w:rPr>
                <w:sz w:val="18"/>
                <w:szCs w:val="18"/>
              </w:rPr>
              <w:t>22</w:t>
            </w:r>
          </w:p>
        </w:tc>
        <w:tc>
          <w:tcPr>
            <w:tcW w:w="159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1BCE6C57" w14:textId="77777777" w:rsidR="00247A75" w:rsidRDefault="00000000">
            <w:pPr>
              <w:spacing w:before="40" w:after="40"/>
              <w:jc w:val="center"/>
            </w:pPr>
            <w:r>
              <w:rPr>
                <w:color w:val="2E7D32"/>
                <w:sz w:val="18"/>
                <w:szCs w:val="18"/>
              </w:rPr>
              <w:t>16</w:t>
            </w:r>
          </w:p>
        </w:tc>
        <w:tc>
          <w:tcPr>
            <w:tcW w:w="159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591EFB8D" w14:textId="77777777" w:rsidR="00247A75" w:rsidRDefault="00000000">
            <w:pPr>
              <w:spacing w:before="40" w:after="40"/>
              <w:jc w:val="center"/>
            </w:pPr>
            <w:r>
              <w:rPr>
                <w:color w:val="2E7D32"/>
                <w:sz w:val="18"/>
                <w:szCs w:val="18"/>
              </w:rPr>
              <w:t>16</w:t>
            </w:r>
          </w:p>
        </w:tc>
        <w:tc>
          <w:tcPr>
            <w:tcW w:w="159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14A54809" w14:textId="77777777" w:rsidR="00247A75" w:rsidRDefault="00000000">
            <w:pPr>
              <w:spacing w:before="40" w:after="40"/>
              <w:jc w:val="center"/>
            </w:pPr>
            <w:r>
              <w:rPr>
                <w:color w:val="2E7D32"/>
                <w:sz w:val="18"/>
                <w:szCs w:val="18"/>
              </w:rPr>
              <w:t>21</w:t>
            </w:r>
          </w:p>
        </w:tc>
        <w:tc>
          <w:tcPr>
            <w:tcW w:w="149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23C945C2" w14:textId="77777777" w:rsidR="00247A75" w:rsidRDefault="00000000">
            <w:pPr>
              <w:spacing w:before="40" w:after="40"/>
              <w:jc w:val="center"/>
            </w:pPr>
            <w:r>
              <w:rPr>
                <w:color w:val="2E7D32"/>
                <w:sz w:val="18"/>
                <w:szCs w:val="18"/>
              </w:rPr>
              <w:t>21</w:t>
            </w:r>
          </w:p>
        </w:tc>
      </w:tr>
      <w:tr w:rsidR="00247A75" w14:paraId="4509CDDB" w14:textId="77777777">
        <w:tc>
          <w:tcPr>
            <w:tcW w:w="1100" w:type="dxa"/>
            <w:tcBorders>
              <w:top w:val="single" w:sz="1" w:space="0" w:color="CCCCCC"/>
              <w:left w:val="single" w:sz="1" w:space="0" w:color="CCCCCC"/>
              <w:bottom w:val="single" w:sz="1" w:space="0" w:color="CCCCCC"/>
              <w:right w:val="single" w:sz="1" w:space="0" w:color="CCCCCC"/>
            </w:tcBorders>
            <w:vAlign w:val="center"/>
          </w:tcPr>
          <w:p w14:paraId="58B0DF05" w14:textId="77777777" w:rsidR="00247A75" w:rsidRDefault="00000000">
            <w:pPr>
              <w:spacing w:before="40" w:after="40"/>
              <w:jc w:val="center"/>
            </w:pPr>
            <w:r>
              <w:rPr>
                <w:b/>
                <w:bCs/>
                <w:sz w:val="18"/>
                <w:szCs w:val="18"/>
              </w:rPr>
              <w:t>XYLD</w:t>
            </w:r>
          </w:p>
        </w:tc>
        <w:tc>
          <w:tcPr>
            <w:tcW w:w="1100" w:type="dxa"/>
            <w:tcBorders>
              <w:top w:val="single" w:sz="1" w:space="0" w:color="CCCCCC"/>
              <w:left w:val="single" w:sz="1" w:space="0" w:color="CCCCCC"/>
              <w:bottom w:val="single" w:sz="1" w:space="0" w:color="CCCCCC"/>
              <w:right w:val="single" w:sz="1" w:space="0" w:color="CCCCCC"/>
            </w:tcBorders>
            <w:vAlign w:val="center"/>
          </w:tcPr>
          <w:p w14:paraId="1468995D" w14:textId="77777777" w:rsidR="00247A75" w:rsidRDefault="00000000">
            <w:pPr>
              <w:spacing w:before="40" w:after="40"/>
              <w:jc w:val="center"/>
            </w:pPr>
            <w:r>
              <w:rPr>
                <w:sz w:val="18"/>
                <w:szCs w:val="18"/>
              </w:rPr>
              <w:t>ETF</w:t>
            </w:r>
          </w:p>
        </w:tc>
        <w:tc>
          <w:tcPr>
            <w:tcW w:w="900" w:type="dxa"/>
            <w:tcBorders>
              <w:top w:val="single" w:sz="1" w:space="0" w:color="CCCCCC"/>
              <w:left w:val="single" w:sz="1" w:space="0" w:color="CCCCCC"/>
              <w:bottom w:val="single" w:sz="1" w:space="0" w:color="CCCCCC"/>
              <w:right w:val="single" w:sz="1" w:space="0" w:color="CCCCCC"/>
            </w:tcBorders>
            <w:vAlign w:val="center"/>
          </w:tcPr>
          <w:p w14:paraId="0BD03066" w14:textId="77777777" w:rsidR="00247A75" w:rsidRDefault="00000000">
            <w:pPr>
              <w:spacing w:before="40" w:after="40"/>
              <w:jc w:val="center"/>
            </w:pPr>
            <w:r>
              <w:rPr>
                <w:sz w:val="18"/>
                <w:szCs w:val="18"/>
              </w:rPr>
              <w:t>13</w:t>
            </w:r>
          </w:p>
        </w:tc>
        <w:tc>
          <w:tcPr>
            <w:tcW w:w="1590" w:type="dxa"/>
            <w:tcBorders>
              <w:top w:val="single" w:sz="1" w:space="0" w:color="CCCCCC"/>
              <w:left w:val="single" w:sz="1" w:space="0" w:color="CCCCCC"/>
              <w:bottom w:val="single" w:sz="1" w:space="0" w:color="CCCCCC"/>
              <w:right w:val="single" w:sz="1" w:space="0" w:color="CCCCCC"/>
            </w:tcBorders>
            <w:vAlign w:val="center"/>
          </w:tcPr>
          <w:p w14:paraId="4CDD6197" w14:textId="77777777" w:rsidR="00247A75" w:rsidRDefault="00000000">
            <w:pPr>
              <w:spacing w:before="40" w:after="40"/>
              <w:jc w:val="center"/>
            </w:pPr>
            <w:r>
              <w:rPr>
                <w:color w:val="D32F2F"/>
                <w:sz w:val="18"/>
                <w:szCs w:val="18"/>
              </w:rPr>
              <w:t>0</w:t>
            </w:r>
          </w:p>
        </w:tc>
        <w:tc>
          <w:tcPr>
            <w:tcW w:w="1590" w:type="dxa"/>
            <w:tcBorders>
              <w:top w:val="single" w:sz="1" w:space="0" w:color="CCCCCC"/>
              <w:left w:val="single" w:sz="1" w:space="0" w:color="CCCCCC"/>
              <w:bottom w:val="single" w:sz="1" w:space="0" w:color="CCCCCC"/>
              <w:right w:val="single" w:sz="1" w:space="0" w:color="CCCCCC"/>
            </w:tcBorders>
            <w:vAlign w:val="center"/>
          </w:tcPr>
          <w:p w14:paraId="63F5C1F5" w14:textId="77777777" w:rsidR="00247A75" w:rsidRDefault="00000000">
            <w:pPr>
              <w:spacing w:before="40" w:after="40"/>
              <w:jc w:val="center"/>
            </w:pPr>
            <w:r>
              <w:rPr>
                <w:color w:val="D32F2F"/>
                <w:sz w:val="18"/>
                <w:szCs w:val="18"/>
              </w:rPr>
              <w:t>0</w:t>
            </w:r>
          </w:p>
        </w:tc>
        <w:tc>
          <w:tcPr>
            <w:tcW w:w="1590" w:type="dxa"/>
            <w:tcBorders>
              <w:top w:val="single" w:sz="1" w:space="0" w:color="CCCCCC"/>
              <w:left w:val="single" w:sz="1" w:space="0" w:color="CCCCCC"/>
              <w:bottom w:val="single" w:sz="1" w:space="0" w:color="CCCCCC"/>
              <w:right w:val="single" w:sz="1" w:space="0" w:color="CCCCCC"/>
            </w:tcBorders>
            <w:vAlign w:val="center"/>
          </w:tcPr>
          <w:p w14:paraId="661EC79E" w14:textId="77777777" w:rsidR="00247A75" w:rsidRDefault="00000000">
            <w:pPr>
              <w:spacing w:before="40" w:after="40"/>
              <w:jc w:val="center"/>
            </w:pPr>
            <w:r>
              <w:rPr>
                <w:color w:val="E65100"/>
                <w:sz w:val="18"/>
                <w:szCs w:val="18"/>
              </w:rPr>
              <w:t>2</w:t>
            </w:r>
          </w:p>
        </w:tc>
        <w:tc>
          <w:tcPr>
            <w:tcW w:w="1490" w:type="dxa"/>
            <w:tcBorders>
              <w:top w:val="single" w:sz="1" w:space="0" w:color="CCCCCC"/>
              <w:left w:val="single" w:sz="1" w:space="0" w:color="CCCCCC"/>
              <w:bottom w:val="single" w:sz="1" w:space="0" w:color="CCCCCC"/>
              <w:right w:val="single" w:sz="1" w:space="0" w:color="CCCCCC"/>
            </w:tcBorders>
            <w:vAlign w:val="center"/>
          </w:tcPr>
          <w:p w14:paraId="45DCDCA7" w14:textId="77777777" w:rsidR="00247A75" w:rsidRDefault="00000000">
            <w:pPr>
              <w:spacing w:before="40" w:after="40"/>
              <w:jc w:val="center"/>
            </w:pPr>
            <w:r>
              <w:rPr>
                <w:color w:val="E65100"/>
                <w:sz w:val="18"/>
                <w:szCs w:val="18"/>
              </w:rPr>
              <w:t>2</w:t>
            </w:r>
          </w:p>
        </w:tc>
      </w:tr>
      <w:tr w:rsidR="00247A75" w14:paraId="2B7C3A8B" w14:textId="77777777">
        <w:tc>
          <w:tcPr>
            <w:tcW w:w="11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242B2693" w14:textId="77777777" w:rsidR="00247A75" w:rsidRDefault="00000000">
            <w:pPr>
              <w:spacing w:before="40" w:after="40"/>
              <w:jc w:val="center"/>
            </w:pPr>
            <w:r>
              <w:rPr>
                <w:b/>
                <w:bCs/>
                <w:sz w:val="18"/>
                <w:szCs w:val="18"/>
              </w:rPr>
              <w:lastRenderedPageBreak/>
              <w:t>JEPI</w:t>
            </w:r>
          </w:p>
        </w:tc>
        <w:tc>
          <w:tcPr>
            <w:tcW w:w="11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26738AFA" w14:textId="77777777" w:rsidR="00247A75" w:rsidRDefault="00000000">
            <w:pPr>
              <w:spacing w:before="40" w:after="40"/>
              <w:jc w:val="center"/>
            </w:pPr>
            <w:r>
              <w:rPr>
                <w:sz w:val="18"/>
                <w:szCs w:val="18"/>
              </w:rPr>
              <w:t>ETF</w:t>
            </w:r>
          </w:p>
        </w:tc>
        <w:tc>
          <w:tcPr>
            <w:tcW w:w="9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39A76DCA" w14:textId="77777777" w:rsidR="00247A75" w:rsidRDefault="00000000">
            <w:pPr>
              <w:spacing w:before="40" w:after="40"/>
              <w:jc w:val="center"/>
            </w:pPr>
            <w:r>
              <w:rPr>
                <w:sz w:val="18"/>
                <w:szCs w:val="18"/>
              </w:rPr>
              <w:t>6</w:t>
            </w:r>
          </w:p>
        </w:tc>
        <w:tc>
          <w:tcPr>
            <w:tcW w:w="159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672BB778" w14:textId="77777777" w:rsidR="00247A75" w:rsidRDefault="00000000">
            <w:pPr>
              <w:spacing w:before="40" w:after="40"/>
              <w:jc w:val="center"/>
            </w:pPr>
            <w:r>
              <w:rPr>
                <w:color w:val="D32F2F"/>
                <w:sz w:val="18"/>
                <w:szCs w:val="18"/>
              </w:rPr>
              <w:t>1</w:t>
            </w:r>
          </w:p>
        </w:tc>
        <w:tc>
          <w:tcPr>
            <w:tcW w:w="159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132A75AD" w14:textId="77777777" w:rsidR="00247A75" w:rsidRDefault="00000000">
            <w:pPr>
              <w:spacing w:before="40" w:after="40"/>
              <w:jc w:val="center"/>
            </w:pPr>
            <w:r>
              <w:rPr>
                <w:color w:val="E65100"/>
                <w:sz w:val="18"/>
                <w:szCs w:val="18"/>
              </w:rPr>
              <w:t>2</w:t>
            </w:r>
          </w:p>
        </w:tc>
        <w:tc>
          <w:tcPr>
            <w:tcW w:w="159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5EF123B8" w14:textId="77777777" w:rsidR="00247A75" w:rsidRDefault="00000000">
            <w:pPr>
              <w:spacing w:before="40" w:after="40"/>
              <w:jc w:val="center"/>
            </w:pPr>
            <w:r>
              <w:rPr>
                <w:color w:val="E65100"/>
                <w:sz w:val="18"/>
                <w:szCs w:val="18"/>
              </w:rPr>
              <w:t>2</w:t>
            </w:r>
          </w:p>
        </w:tc>
        <w:tc>
          <w:tcPr>
            <w:tcW w:w="149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63F43AAF" w14:textId="77777777" w:rsidR="00247A75" w:rsidRDefault="00000000">
            <w:pPr>
              <w:spacing w:before="40" w:after="40"/>
              <w:jc w:val="center"/>
            </w:pPr>
            <w:r>
              <w:rPr>
                <w:color w:val="E65100"/>
                <w:sz w:val="18"/>
                <w:szCs w:val="18"/>
              </w:rPr>
              <w:t>2</w:t>
            </w:r>
          </w:p>
        </w:tc>
      </w:tr>
      <w:tr w:rsidR="00247A75" w14:paraId="34DEDF14" w14:textId="77777777">
        <w:tc>
          <w:tcPr>
            <w:tcW w:w="1100" w:type="dxa"/>
            <w:tcBorders>
              <w:top w:val="single" w:sz="1" w:space="0" w:color="CCCCCC"/>
              <w:left w:val="single" w:sz="1" w:space="0" w:color="CCCCCC"/>
              <w:bottom w:val="single" w:sz="1" w:space="0" w:color="CCCCCC"/>
              <w:right w:val="single" w:sz="1" w:space="0" w:color="CCCCCC"/>
            </w:tcBorders>
            <w:vAlign w:val="center"/>
          </w:tcPr>
          <w:p w14:paraId="57DEC0B5" w14:textId="77777777" w:rsidR="00247A75" w:rsidRDefault="00000000">
            <w:pPr>
              <w:spacing w:before="40" w:after="40"/>
              <w:jc w:val="center"/>
            </w:pPr>
            <w:r>
              <w:rPr>
                <w:b/>
                <w:bCs/>
                <w:sz w:val="18"/>
                <w:szCs w:val="18"/>
              </w:rPr>
              <w:t>SGOV</w:t>
            </w:r>
          </w:p>
        </w:tc>
        <w:tc>
          <w:tcPr>
            <w:tcW w:w="1100" w:type="dxa"/>
            <w:tcBorders>
              <w:top w:val="single" w:sz="1" w:space="0" w:color="CCCCCC"/>
              <w:left w:val="single" w:sz="1" w:space="0" w:color="CCCCCC"/>
              <w:bottom w:val="single" w:sz="1" w:space="0" w:color="CCCCCC"/>
              <w:right w:val="single" w:sz="1" w:space="0" w:color="CCCCCC"/>
            </w:tcBorders>
            <w:vAlign w:val="center"/>
          </w:tcPr>
          <w:p w14:paraId="1793D445" w14:textId="77777777" w:rsidR="00247A75" w:rsidRDefault="00000000">
            <w:pPr>
              <w:spacing w:before="40" w:after="40"/>
              <w:jc w:val="center"/>
            </w:pPr>
            <w:r>
              <w:rPr>
                <w:sz w:val="18"/>
                <w:szCs w:val="18"/>
              </w:rPr>
              <w:t>Bond</w:t>
            </w:r>
          </w:p>
        </w:tc>
        <w:tc>
          <w:tcPr>
            <w:tcW w:w="900" w:type="dxa"/>
            <w:tcBorders>
              <w:top w:val="single" w:sz="1" w:space="0" w:color="CCCCCC"/>
              <w:left w:val="single" w:sz="1" w:space="0" w:color="CCCCCC"/>
              <w:bottom w:val="single" w:sz="1" w:space="0" w:color="CCCCCC"/>
              <w:right w:val="single" w:sz="1" w:space="0" w:color="CCCCCC"/>
            </w:tcBorders>
            <w:vAlign w:val="center"/>
          </w:tcPr>
          <w:p w14:paraId="1D431FDA" w14:textId="77777777" w:rsidR="00247A75" w:rsidRDefault="00000000">
            <w:pPr>
              <w:spacing w:before="40" w:after="40"/>
              <w:jc w:val="center"/>
            </w:pPr>
            <w:r>
              <w:rPr>
                <w:sz w:val="18"/>
                <w:szCs w:val="18"/>
              </w:rPr>
              <w:t>6</w:t>
            </w:r>
          </w:p>
        </w:tc>
        <w:tc>
          <w:tcPr>
            <w:tcW w:w="1590" w:type="dxa"/>
            <w:tcBorders>
              <w:top w:val="single" w:sz="1" w:space="0" w:color="CCCCCC"/>
              <w:left w:val="single" w:sz="1" w:space="0" w:color="CCCCCC"/>
              <w:bottom w:val="single" w:sz="1" w:space="0" w:color="CCCCCC"/>
              <w:right w:val="single" w:sz="1" w:space="0" w:color="CCCCCC"/>
            </w:tcBorders>
            <w:vAlign w:val="center"/>
          </w:tcPr>
          <w:p w14:paraId="3329BE4B" w14:textId="77777777" w:rsidR="00247A75" w:rsidRDefault="00000000">
            <w:pPr>
              <w:spacing w:before="40" w:after="40"/>
              <w:jc w:val="center"/>
            </w:pPr>
            <w:r>
              <w:rPr>
                <w:color w:val="D32F2F"/>
                <w:sz w:val="18"/>
                <w:szCs w:val="18"/>
              </w:rPr>
              <w:t>0</w:t>
            </w:r>
          </w:p>
        </w:tc>
        <w:tc>
          <w:tcPr>
            <w:tcW w:w="1590" w:type="dxa"/>
            <w:tcBorders>
              <w:top w:val="single" w:sz="1" w:space="0" w:color="CCCCCC"/>
              <w:left w:val="single" w:sz="1" w:space="0" w:color="CCCCCC"/>
              <w:bottom w:val="single" w:sz="1" w:space="0" w:color="CCCCCC"/>
              <w:right w:val="single" w:sz="1" w:space="0" w:color="CCCCCC"/>
            </w:tcBorders>
            <w:vAlign w:val="center"/>
          </w:tcPr>
          <w:p w14:paraId="637623C0" w14:textId="77777777" w:rsidR="00247A75" w:rsidRDefault="00000000">
            <w:pPr>
              <w:spacing w:before="40" w:after="40"/>
              <w:jc w:val="center"/>
            </w:pPr>
            <w:r>
              <w:rPr>
                <w:color w:val="D32F2F"/>
                <w:sz w:val="18"/>
                <w:szCs w:val="18"/>
              </w:rPr>
              <w:t>0</w:t>
            </w:r>
          </w:p>
        </w:tc>
        <w:tc>
          <w:tcPr>
            <w:tcW w:w="1590" w:type="dxa"/>
            <w:tcBorders>
              <w:top w:val="single" w:sz="1" w:space="0" w:color="CCCCCC"/>
              <w:left w:val="single" w:sz="1" w:space="0" w:color="CCCCCC"/>
              <w:bottom w:val="single" w:sz="1" w:space="0" w:color="CCCCCC"/>
              <w:right w:val="single" w:sz="1" w:space="0" w:color="CCCCCC"/>
            </w:tcBorders>
            <w:vAlign w:val="center"/>
          </w:tcPr>
          <w:p w14:paraId="46467B27" w14:textId="77777777" w:rsidR="00247A75" w:rsidRDefault="00000000">
            <w:pPr>
              <w:spacing w:before="40" w:after="40"/>
              <w:jc w:val="center"/>
            </w:pPr>
            <w:r>
              <w:rPr>
                <w:color w:val="D32F2F"/>
                <w:sz w:val="18"/>
                <w:szCs w:val="18"/>
              </w:rPr>
              <w:t>0</w:t>
            </w:r>
          </w:p>
        </w:tc>
        <w:tc>
          <w:tcPr>
            <w:tcW w:w="1490" w:type="dxa"/>
            <w:tcBorders>
              <w:top w:val="single" w:sz="1" w:space="0" w:color="CCCCCC"/>
              <w:left w:val="single" w:sz="1" w:space="0" w:color="CCCCCC"/>
              <w:bottom w:val="single" w:sz="1" w:space="0" w:color="CCCCCC"/>
              <w:right w:val="single" w:sz="1" w:space="0" w:color="CCCCCC"/>
            </w:tcBorders>
            <w:vAlign w:val="center"/>
          </w:tcPr>
          <w:p w14:paraId="18EF716B" w14:textId="77777777" w:rsidR="00247A75" w:rsidRDefault="00000000">
            <w:pPr>
              <w:spacing w:before="40" w:after="40"/>
              <w:jc w:val="center"/>
            </w:pPr>
            <w:r>
              <w:rPr>
                <w:color w:val="E65100"/>
                <w:sz w:val="18"/>
                <w:szCs w:val="18"/>
              </w:rPr>
              <w:t>4</w:t>
            </w:r>
          </w:p>
        </w:tc>
      </w:tr>
    </w:tbl>
    <w:p w14:paraId="6520C77F" w14:textId="77777777" w:rsidR="00247A75" w:rsidRDefault="00247A75">
      <w:pPr>
        <w:spacing w:before="24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7"/>
      </w:tblGrid>
      <w:tr w:rsidR="00247A75" w14:paraId="1F0D785E" w14:textId="77777777">
        <w:tc>
          <w:tcPr>
            <w:tcW w:w="9360" w:type="dxa"/>
            <w:tcBorders>
              <w:top w:val="single" w:sz="1" w:space="0" w:color="096B5A"/>
              <w:left w:val="single" w:sz="6" w:space="0" w:color="096B5A"/>
              <w:bottom w:val="single" w:sz="1" w:space="0" w:color="096B5A"/>
              <w:right w:val="single" w:sz="1" w:space="0" w:color="096B5A"/>
            </w:tcBorders>
            <w:shd w:val="clear" w:color="auto" w:fill="E8F5F2"/>
          </w:tcPr>
          <w:p w14:paraId="35924D0C" w14:textId="77777777" w:rsidR="00247A75" w:rsidRDefault="00000000">
            <w:pPr>
              <w:spacing w:before="100" w:after="40"/>
            </w:pPr>
            <w:r>
              <w:rPr>
                <w:b/>
                <w:bCs/>
                <w:color w:val="096B5A"/>
                <w:sz w:val="20"/>
                <w:szCs w:val="20"/>
              </w:rPr>
              <w:t>Key Finding</w:t>
            </w:r>
          </w:p>
          <w:p w14:paraId="48A28D24" w14:textId="77777777" w:rsidR="00247A75" w:rsidRDefault="00000000">
            <w:pPr>
              <w:spacing w:after="100"/>
            </w:pPr>
            <w:r>
              <w:rPr>
                <w:sz w:val="19"/>
                <w:szCs w:val="19"/>
              </w:rPr>
              <w:t>At 5% tolerance, Realty Income (O) — a Dividend Aristocrat with 32 years of history — drops from a 29-year streak to just 1 year because of a minor ~6–8% payout fluctuation common in REITs. BTI drops from 27 to 2 due to FX-driven ADR fluctuations. These are false positives that would undermine scoring credibility.</w:t>
            </w:r>
          </w:p>
        </w:tc>
      </w:tr>
    </w:tbl>
    <w:p w14:paraId="62CF8344" w14:textId="77777777" w:rsidR="00247A75" w:rsidRDefault="00000000">
      <w:pPr>
        <w:pStyle w:val="Heading2"/>
        <w:spacing w:before="300"/>
      </w:pPr>
      <w:r>
        <w:t>Decision</w:t>
      </w:r>
    </w:p>
    <w:p w14:paraId="4DEBAEBB" w14:textId="77777777" w:rsidR="00247A75" w:rsidRDefault="00000000">
      <w:pPr>
        <w:spacing w:after="80"/>
      </w:pPr>
      <w:r>
        <w:rPr>
          <w:b/>
          <w:bCs/>
          <w:color w:val="096B5A"/>
        </w:rPr>
        <w:t>10% tolerance selected.</w:t>
      </w:r>
      <w:r>
        <w:t xml:space="preserve"> A dividend decrease of up to 10% is treated as normal variability; decreases greater than 10% break the streak.</w:t>
      </w:r>
    </w:p>
    <w:p w14:paraId="659B0C68" w14:textId="77777777" w:rsidR="00247A75" w:rsidRDefault="00000000">
      <w:pPr>
        <w:pStyle w:val="ListParagraph"/>
        <w:numPr>
          <w:ilvl w:val="0"/>
          <w:numId w:val="3"/>
        </w:numPr>
      </w:pPr>
      <w:r>
        <w:t>Fixes false positives on quality REITs (O) and international stocks (BTI)</w:t>
      </w:r>
    </w:p>
    <w:p w14:paraId="0837CEC5" w14:textId="77777777" w:rsidR="00247A75" w:rsidRDefault="00000000">
      <w:pPr>
        <w:pStyle w:val="ListParagraph"/>
        <w:numPr>
          <w:ilvl w:val="0"/>
          <w:numId w:val="3"/>
        </w:numPr>
      </w:pPr>
      <w:r>
        <w:t>Bond ETFs (SGOV, JAAA) still correctly score 0.0 — their fluctuations exceed 10%</w:t>
      </w:r>
    </w:p>
    <w:p w14:paraId="60041F00" w14:textId="77777777" w:rsidR="00247A75" w:rsidRDefault="00000000">
      <w:pPr>
        <w:pStyle w:val="ListParagraph"/>
        <w:numPr>
          <w:ilvl w:val="0"/>
          <w:numId w:val="3"/>
        </w:numPr>
      </w:pPr>
      <w:r>
        <w:t>15% and 20% are too forgiving — XYLD escapes penalty at 15%, masking genuine structural issues</w:t>
      </w:r>
    </w:p>
    <w:p w14:paraId="19262F20" w14:textId="77777777" w:rsidR="00247A75" w:rsidRDefault="00000000">
      <w:pPr>
        <w:pStyle w:val="ListParagraph"/>
        <w:numPr>
          <w:ilvl w:val="0"/>
          <w:numId w:val="3"/>
        </w:numPr>
      </w:pPr>
      <w:r>
        <w:t>For income investors, a 12% annual payout decline is noticeable and should be flagged</w:t>
      </w:r>
    </w:p>
    <w:p w14:paraId="68EA9638" w14:textId="77777777" w:rsidR="00247A75" w:rsidRDefault="00000000">
      <w:r>
        <w:br w:type="page"/>
      </w:r>
    </w:p>
    <w:p w14:paraId="0A91DA02" w14:textId="77777777" w:rsidR="00247A75" w:rsidRDefault="00000000">
      <w:pPr>
        <w:pStyle w:val="Heading1"/>
      </w:pPr>
      <w:r>
        <w:lastRenderedPageBreak/>
        <w:t>Analysis 2: Age-Fairness Calibration</w:t>
      </w:r>
    </w:p>
    <w:p w14:paraId="18653547" w14:textId="77777777" w:rsidR="00247A75" w:rsidRDefault="00000000">
      <w:pPr>
        <w:pStyle w:val="Heading2"/>
      </w:pPr>
      <w:r>
        <w:t>Problem</w:t>
      </w:r>
    </w:p>
    <w:p w14:paraId="7DB9A142" w14:textId="58698C06" w:rsidR="00247A75" w:rsidRDefault="00000000">
      <w:pPr>
        <w:spacing w:after="120"/>
      </w:pPr>
      <w:r>
        <w:t xml:space="preserve">A fund that is 3 years old with zero dividend cuts has proven nothing — it simply has not faced a </w:t>
      </w:r>
      <w:r w:rsidR="00965C38">
        <w:t xml:space="preserve">major </w:t>
      </w:r>
      <w:r>
        <w:t>downturn. A 10-year fund with one cut 6 years ago survived COVID, rising interest rates, and multiple market corrections. Yet with a simple streak-based scoring system, the 3-year fund could score the same or higher than the battle-tested veteran.</w:t>
      </w:r>
    </w:p>
    <w:p w14:paraId="556C5138" w14:textId="77777777" w:rsidR="00247A75" w:rsidRDefault="00000000">
      <w:pPr>
        <w:spacing w:after="200"/>
      </w:pPr>
      <w:r>
        <w:t>This is particularly relevant for the Dividend Radar universe, which contains many newer ETFs (SPYI, JEPQ, QQQI launched 2022–2024) alongside established blue chips (JNJ since 1962, KO since 1962, PEP since 1972).</w:t>
      </w:r>
    </w:p>
    <w:p w14:paraId="3774AF14" w14:textId="77777777" w:rsidR="00247A75" w:rsidRDefault="00000000">
      <w:pPr>
        <w:pStyle w:val="Heading2"/>
      </w:pPr>
      <w:r>
        <w:t>Approaches Compared</w:t>
      </w:r>
    </w:p>
    <w:p w14:paraId="126D7506" w14:textId="77777777" w:rsidR="00247A75" w:rsidRDefault="00000000">
      <w:pPr>
        <w:spacing w:after="120"/>
      </w:pPr>
      <w:r>
        <w:t>We evaluated four approaches, all using the 10% tolerance from Analysis 1:</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53"/>
        <w:gridCol w:w="3635"/>
        <w:gridCol w:w="3636"/>
      </w:tblGrid>
      <w:tr w:rsidR="00247A75" w14:paraId="5FCC8AA6" w14:textId="77777777">
        <w:tc>
          <w:tcPr>
            <w:tcW w:w="180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0C2F2A18" w14:textId="77777777" w:rsidR="00247A75" w:rsidRDefault="00000000">
            <w:pPr>
              <w:spacing w:before="60" w:after="60"/>
              <w:jc w:val="center"/>
            </w:pPr>
            <w:r>
              <w:rPr>
                <w:b/>
                <w:bCs/>
                <w:color w:val="FFFFFF"/>
                <w:sz w:val="18"/>
                <w:szCs w:val="18"/>
              </w:rPr>
              <w:t>Approach</w:t>
            </w:r>
          </w:p>
        </w:tc>
        <w:tc>
          <w:tcPr>
            <w:tcW w:w="378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086E9611" w14:textId="77777777" w:rsidR="00247A75" w:rsidRDefault="00000000">
            <w:pPr>
              <w:spacing w:before="60" w:after="60"/>
              <w:jc w:val="center"/>
            </w:pPr>
            <w:r>
              <w:rPr>
                <w:b/>
                <w:bCs/>
                <w:color w:val="FFFFFF"/>
                <w:sz w:val="18"/>
                <w:szCs w:val="18"/>
              </w:rPr>
              <w:t>Method</w:t>
            </w:r>
          </w:p>
        </w:tc>
        <w:tc>
          <w:tcPr>
            <w:tcW w:w="378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157FB842" w14:textId="77777777" w:rsidR="00247A75" w:rsidRDefault="00000000">
            <w:pPr>
              <w:spacing w:before="60" w:after="60"/>
              <w:jc w:val="center"/>
            </w:pPr>
            <w:r>
              <w:rPr>
                <w:b/>
                <w:bCs/>
                <w:color w:val="FFFFFF"/>
                <w:sz w:val="18"/>
                <w:szCs w:val="18"/>
              </w:rPr>
              <w:t>Logic</w:t>
            </w:r>
          </w:p>
        </w:tc>
      </w:tr>
      <w:tr w:rsidR="00247A75" w14:paraId="05A45B5A" w14:textId="77777777">
        <w:tc>
          <w:tcPr>
            <w:tcW w:w="1800" w:type="dxa"/>
            <w:tcBorders>
              <w:top w:val="single" w:sz="1" w:space="0" w:color="CCCCCC"/>
              <w:left w:val="single" w:sz="1" w:space="0" w:color="CCCCCC"/>
              <w:bottom w:val="single" w:sz="1" w:space="0" w:color="CCCCCC"/>
              <w:right w:val="single" w:sz="1" w:space="0" w:color="CCCCCC"/>
            </w:tcBorders>
            <w:vAlign w:val="center"/>
          </w:tcPr>
          <w:p w14:paraId="44EFF7DE" w14:textId="77777777" w:rsidR="00247A75" w:rsidRDefault="00000000">
            <w:pPr>
              <w:spacing w:before="40" w:after="40"/>
              <w:jc w:val="center"/>
            </w:pPr>
            <w:r>
              <w:rPr>
                <w:b/>
                <w:bCs/>
                <w:sz w:val="18"/>
                <w:szCs w:val="18"/>
              </w:rPr>
              <w:t>A: Original</w:t>
            </w:r>
          </w:p>
        </w:tc>
        <w:tc>
          <w:tcPr>
            <w:tcW w:w="3780" w:type="dxa"/>
            <w:tcBorders>
              <w:top w:val="single" w:sz="1" w:space="0" w:color="CCCCCC"/>
              <w:left w:val="single" w:sz="1" w:space="0" w:color="CCCCCC"/>
              <w:bottom w:val="single" w:sz="1" w:space="0" w:color="CCCCCC"/>
              <w:right w:val="single" w:sz="1" w:space="0" w:color="CCCCCC"/>
            </w:tcBorders>
            <w:vAlign w:val="center"/>
          </w:tcPr>
          <w:p w14:paraId="4504D943" w14:textId="77777777" w:rsidR="00247A75" w:rsidRDefault="00000000">
            <w:pPr>
              <w:spacing w:before="40" w:after="40"/>
            </w:pPr>
            <w:r>
              <w:rPr>
                <w:sz w:val="18"/>
                <w:szCs w:val="18"/>
              </w:rPr>
              <w:t>Pure streak thresholds</w:t>
            </w:r>
          </w:p>
        </w:tc>
        <w:tc>
          <w:tcPr>
            <w:tcW w:w="3780" w:type="dxa"/>
            <w:tcBorders>
              <w:top w:val="single" w:sz="1" w:space="0" w:color="CCCCCC"/>
              <w:left w:val="single" w:sz="1" w:space="0" w:color="CCCCCC"/>
              <w:bottom w:val="single" w:sz="1" w:space="0" w:color="CCCCCC"/>
              <w:right w:val="single" w:sz="1" w:space="0" w:color="CCCCCC"/>
            </w:tcBorders>
            <w:vAlign w:val="center"/>
          </w:tcPr>
          <w:p w14:paraId="660FC278" w14:textId="77777777" w:rsidR="00247A75" w:rsidRDefault="00000000">
            <w:pPr>
              <w:spacing w:before="40" w:after="40"/>
            </w:pPr>
            <w:r>
              <w:rPr>
                <w:sz w:val="18"/>
                <w:szCs w:val="18"/>
              </w:rPr>
              <w:t>Funds &lt;2yr get neutral 0.5; rest scored on streak length alone</w:t>
            </w:r>
          </w:p>
        </w:tc>
      </w:tr>
      <w:tr w:rsidR="00247A75" w14:paraId="02B49511" w14:textId="77777777">
        <w:tc>
          <w:tcPr>
            <w:tcW w:w="18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0D513270" w14:textId="77777777" w:rsidR="00247A75" w:rsidRDefault="00000000">
            <w:pPr>
              <w:spacing w:before="40" w:after="40"/>
              <w:jc w:val="center"/>
            </w:pPr>
            <w:r>
              <w:rPr>
                <w:b/>
                <w:bCs/>
                <w:sz w:val="18"/>
                <w:szCs w:val="18"/>
              </w:rPr>
              <w:t>B: Ratio</w:t>
            </w:r>
          </w:p>
        </w:tc>
        <w:tc>
          <w:tcPr>
            <w:tcW w:w="378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7F08A2A3" w14:textId="77777777" w:rsidR="00247A75" w:rsidRDefault="00000000">
            <w:pPr>
              <w:spacing w:before="40" w:after="40"/>
            </w:pPr>
            <w:r>
              <w:rPr>
                <w:sz w:val="18"/>
                <w:szCs w:val="18"/>
              </w:rPr>
              <w:t>Streak ÷ fund age</w:t>
            </w:r>
          </w:p>
        </w:tc>
        <w:tc>
          <w:tcPr>
            <w:tcW w:w="378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09545103" w14:textId="77777777" w:rsidR="00247A75" w:rsidRDefault="00000000">
            <w:pPr>
              <w:spacing w:before="40" w:after="40"/>
            </w:pPr>
            <w:r>
              <w:rPr>
                <w:sz w:val="18"/>
                <w:szCs w:val="18"/>
              </w:rPr>
              <w:t>Score = what % of fund's life had no cuts</w:t>
            </w:r>
          </w:p>
        </w:tc>
      </w:tr>
      <w:tr w:rsidR="00247A75" w14:paraId="57C36AC1" w14:textId="77777777">
        <w:tc>
          <w:tcPr>
            <w:tcW w:w="1800" w:type="dxa"/>
            <w:tcBorders>
              <w:top w:val="single" w:sz="1" w:space="0" w:color="CCCCCC"/>
              <w:left w:val="single" w:sz="1" w:space="0" w:color="CCCCCC"/>
              <w:bottom w:val="single" w:sz="1" w:space="0" w:color="CCCCCC"/>
              <w:right w:val="single" w:sz="1" w:space="0" w:color="CCCCCC"/>
            </w:tcBorders>
            <w:vAlign w:val="center"/>
          </w:tcPr>
          <w:p w14:paraId="64C770C2" w14:textId="77777777" w:rsidR="00247A75" w:rsidRDefault="00000000">
            <w:pPr>
              <w:spacing w:before="40" w:after="40"/>
              <w:jc w:val="center"/>
            </w:pPr>
            <w:r>
              <w:rPr>
                <w:b/>
                <w:bCs/>
                <w:sz w:val="18"/>
                <w:szCs w:val="18"/>
              </w:rPr>
              <w:t>C: Age-Weighted</w:t>
            </w:r>
          </w:p>
        </w:tc>
        <w:tc>
          <w:tcPr>
            <w:tcW w:w="3780" w:type="dxa"/>
            <w:tcBorders>
              <w:top w:val="single" w:sz="1" w:space="0" w:color="CCCCCC"/>
              <w:left w:val="single" w:sz="1" w:space="0" w:color="CCCCCC"/>
              <w:bottom w:val="single" w:sz="1" w:space="0" w:color="CCCCCC"/>
              <w:right w:val="single" w:sz="1" w:space="0" w:color="CCCCCC"/>
            </w:tcBorders>
            <w:vAlign w:val="center"/>
          </w:tcPr>
          <w:p w14:paraId="523DBC89" w14:textId="77777777" w:rsidR="00247A75" w:rsidRDefault="00000000">
            <w:pPr>
              <w:spacing w:before="40" w:after="40"/>
            </w:pPr>
            <w:r>
              <w:rPr>
                <w:sz w:val="18"/>
                <w:szCs w:val="18"/>
              </w:rPr>
              <w:t>Streak score × age multiplier</w:t>
            </w:r>
          </w:p>
        </w:tc>
        <w:tc>
          <w:tcPr>
            <w:tcW w:w="3780" w:type="dxa"/>
            <w:tcBorders>
              <w:top w:val="single" w:sz="1" w:space="0" w:color="CCCCCC"/>
              <w:left w:val="single" w:sz="1" w:space="0" w:color="CCCCCC"/>
              <w:bottom w:val="single" w:sz="1" w:space="0" w:color="CCCCCC"/>
              <w:right w:val="single" w:sz="1" w:space="0" w:color="CCCCCC"/>
            </w:tcBorders>
            <w:vAlign w:val="center"/>
          </w:tcPr>
          <w:p w14:paraId="2576C07E" w14:textId="77777777" w:rsidR="00247A75" w:rsidRDefault="00000000">
            <w:pPr>
              <w:spacing w:before="40" w:after="40"/>
            </w:pPr>
            <w:r>
              <w:rPr>
                <w:sz w:val="18"/>
                <w:szCs w:val="18"/>
              </w:rPr>
              <w:t>Young funds get dampened (3–5yr: 0.7×, 6–10yr: 0.85×)</w:t>
            </w:r>
          </w:p>
        </w:tc>
      </w:tr>
      <w:tr w:rsidR="00247A75" w14:paraId="146B1AED" w14:textId="77777777">
        <w:tc>
          <w:tcPr>
            <w:tcW w:w="18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7EE344CD" w14:textId="77777777" w:rsidR="00247A75" w:rsidRDefault="00000000">
            <w:pPr>
              <w:spacing w:before="40" w:after="40"/>
              <w:jc w:val="center"/>
            </w:pPr>
            <w:r>
              <w:rPr>
                <w:b/>
                <w:bCs/>
                <w:sz w:val="18"/>
                <w:szCs w:val="18"/>
              </w:rPr>
              <w:t>D: Raise Min</w:t>
            </w:r>
          </w:p>
        </w:tc>
        <w:tc>
          <w:tcPr>
            <w:tcW w:w="378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6FD372BE" w14:textId="77777777" w:rsidR="00247A75" w:rsidRDefault="00000000">
            <w:pPr>
              <w:spacing w:before="40" w:after="40"/>
            </w:pPr>
            <w:r>
              <w:rPr>
                <w:sz w:val="18"/>
                <w:szCs w:val="18"/>
              </w:rPr>
              <w:t>Same as A, but min 3yr</w:t>
            </w:r>
          </w:p>
        </w:tc>
        <w:tc>
          <w:tcPr>
            <w:tcW w:w="378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1DE5D00C" w14:textId="77777777" w:rsidR="00247A75" w:rsidRDefault="00000000">
            <w:pPr>
              <w:spacing w:before="40" w:after="40"/>
            </w:pPr>
            <w:r>
              <w:rPr>
                <w:sz w:val="18"/>
                <w:szCs w:val="18"/>
              </w:rPr>
              <w:t>Funds &lt;3yr get neutral 0.5; rest scored on streak</w:t>
            </w:r>
          </w:p>
        </w:tc>
      </w:tr>
    </w:tbl>
    <w:p w14:paraId="6BF4C345" w14:textId="77777777" w:rsidR="00247A75" w:rsidRDefault="00000000">
      <w:pPr>
        <w:pStyle w:val="Heading2"/>
        <w:spacing w:before="300"/>
      </w:pPr>
      <w:r>
        <w:t>Results: Key Fairness Examples</w:t>
      </w:r>
    </w:p>
    <w:p w14:paraId="27F431B8" w14:textId="77777777" w:rsidR="00247A75" w:rsidRDefault="00000000">
      <w:pPr>
        <w:spacing w:after="120"/>
      </w:pPr>
      <w:r>
        <w:t>The table below shows the rank score (0.0 to 1.0) each approach assigns. "History" is total years of dividend data; "streak" is the no-cut streak at 10% tolerance. Values highlighted in red indicate where an approach produces a questionable result: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3160"/>
        <w:gridCol w:w="1000"/>
        <w:gridCol w:w="1000"/>
        <w:gridCol w:w="1000"/>
        <w:gridCol w:w="1000"/>
      </w:tblGrid>
      <w:tr w:rsidR="00247A75" w14:paraId="22A516AF" w14:textId="77777777">
        <w:tc>
          <w:tcPr>
            <w:tcW w:w="120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5E2418DD" w14:textId="77777777" w:rsidR="00247A75" w:rsidRDefault="00000000">
            <w:pPr>
              <w:spacing w:before="60" w:after="60"/>
              <w:jc w:val="center"/>
            </w:pPr>
            <w:r>
              <w:rPr>
                <w:b/>
                <w:bCs/>
                <w:color w:val="FFFFFF"/>
                <w:sz w:val="18"/>
                <w:szCs w:val="18"/>
              </w:rPr>
              <w:t>Ticker</w:t>
            </w:r>
          </w:p>
        </w:tc>
        <w:tc>
          <w:tcPr>
            <w:tcW w:w="316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29DAB8E4" w14:textId="77777777" w:rsidR="00247A75" w:rsidRDefault="00000000">
            <w:pPr>
              <w:spacing w:before="60" w:after="60"/>
              <w:jc w:val="center"/>
            </w:pPr>
            <w:r>
              <w:rPr>
                <w:b/>
                <w:bCs/>
                <w:color w:val="FFFFFF"/>
                <w:sz w:val="18"/>
                <w:szCs w:val="18"/>
              </w:rPr>
              <w:t>Context</w:t>
            </w:r>
          </w:p>
        </w:tc>
        <w:tc>
          <w:tcPr>
            <w:tcW w:w="100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46F3DE2A" w14:textId="77777777" w:rsidR="00247A75" w:rsidRDefault="00000000">
            <w:pPr>
              <w:spacing w:before="60" w:after="60"/>
              <w:jc w:val="center"/>
            </w:pPr>
            <w:r>
              <w:rPr>
                <w:b/>
                <w:bCs/>
                <w:color w:val="FFFFFF"/>
                <w:sz w:val="18"/>
                <w:szCs w:val="18"/>
              </w:rPr>
              <w:t>A</w:t>
            </w:r>
          </w:p>
        </w:tc>
        <w:tc>
          <w:tcPr>
            <w:tcW w:w="100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149EDB36" w14:textId="77777777" w:rsidR="00247A75" w:rsidRDefault="00000000">
            <w:pPr>
              <w:spacing w:before="60" w:after="60"/>
              <w:jc w:val="center"/>
            </w:pPr>
            <w:r>
              <w:rPr>
                <w:b/>
                <w:bCs/>
                <w:color w:val="FFFFFF"/>
                <w:sz w:val="18"/>
                <w:szCs w:val="18"/>
              </w:rPr>
              <w:t>B</w:t>
            </w:r>
          </w:p>
        </w:tc>
        <w:tc>
          <w:tcPr>
            <w:tcW w:w="100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2D4C53F3" w14:textId="77777777" w:rsidR="00247A75" w:rsidRDefault="00000000">
            <w:pPr>
              <w:spacing w:before="60" w:after="60"/>
              <w:jc w:val="center"/>
            </w:pPr>
            <w:r>
              <w:rPr>
                <w:b/>
                <w:bCs/>
                <w:color w:val="FFFFFF"/>
                <w:sz w:val="18"/>
                <w:szCs w:val="18"/>
              </w:rPr>
              <w:t>C</w:t>
            </w:r>
          </w:p>
        </w:tc>
        <w:tc>
          <w:tcPr>
            <w:tcW w:w="100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643D66FE" w14:textId="77777777" w:rsidR="00247A75" w:rsidRDefault="00000000">
            <w:pPr>
              <w:spacing w:before="60" w:after="60"/>
              <w:jc w:val="center"/>
            </w:pPr>
            <w:r>
              <w:rPr>
                <w:b/>
                <w:bCs/>
                <w:color w:val="FFFFFF"/>
                <w:sz w:val="18"/>
                <w:szCs w:val="18"/>
              </w:rPr>
              <w:t>D</w:t>
            </w:r>
          </w:p>
        </w:tc>
      </w:tr>
      <w:tr w:rsidR="00247A75" w14:paraId="71F78BB5" w14:textId="77777777">
        <w:tc>
          <w:tcPr>
            <w:tcW w:w="1200" w:type="dxa"/>
            <w:tcBorders>
              <w:top w:val="single" w:sz="1" w:space="0" w:color="CCCCCC"/>
              <w:left w:val="single" w:sz="1" w:space="0" w:color="CCCCCC"/>
              <w:bottom w:val="single" w:sz="1" w:space="0" w:color="CCCCCC"/>
              <w:right w:val="single" w:sz="1" w:space="0" w:color="CCCCCC"/>
            </w:tcBorders>
            <w:vAlign w:val="center"/>
          </w:tcPr>
          <w:p w14:paraId="32640D71" w14:textId="77777777" w:rsidR="00247A75" w:rsidRDefault="00000000">
            <w:pPr>
              <w:spacing w:before="40" w:after="40"/>
              <w:jc w:val="center"/>
            </w:pPr>
            <w:r>
              <w:rPr>
                <w:b/>
                <w:bCs/>
                <w:sz w:val="18"/>
                <w:szCs w:val="18"/>
              </w:rPr>
              <w:t>SPYI</w:t>
            </w:r>
          </w:p>
        </w:tc>
        <w:tc>
          <w:tcPr>
            <w:tcW w:w="3160" w:type="dxa"/>
            <w:tcBorders>
              <w:top w:val="single" w:sz="1" w:space="0" w:color="CCCCCC"/>
              <w:left w:val="single" w:sz="1" w:space="0" w:color="CCCCCC"/>
              <w:bottom w:val="single" w:sz="1" w:space="0" w:color="CCCCCC"/>
              <w:right w:val="single" w:sz="1" w:space="0" w:color="CCCCCC"/>
            </w:tcBorders>
            <w:vAlign w:val="center"/>
          </w:tcPr>
          <w:p w14:paraId="43648809" w14:textId="77777777" w:rsidR="00247A75" w:rsidRDefault="00000000">
            <w:pPr>
              <w:spacing w:before="40" w:after="40"/>
            </w:pPr>
            <w:r>
              <w:rPr>
                <w:sz w:val="18"/>
                <w:szCs w:val="18"/>
              </w:rPr>
              <w:t>3yr history, 3yr streak (no cuts)</w:t>
            </w:r>
          </w:p>
        </w:tc>
        <w:tc>
          <w:tcPr>
            <w:tcW w:w="1000" w:type="dxa"/>
            <w:tcBorders>
              <w:top w:val="single" w:sz="1" w:space="0" w:color="CCCCCC"/>
              <w:left w:val="single" w:sz="1" w:space="0" w:color="CCCCCC"/>
              <w:bottom w:val="single" w:sz="1" w:space="0" w:color="CCCCCC"/>
              <w:right w:val="single" w:sz="1" w:space="0" w:color="CCCCCC"/>
            </w:tcBorders>
            <w:vAlign w:val="center"/>
          </w:tcPr>
          <w:p w14:paraId="02C38EE6" w14:textId="77777777" w:rsidR="00247A75" w:rsidRDefault="00000000">
            <w:pPr>
              <w:spacing w:before="40" w:after="40"/>
              <w:jc w:val="center"/>
            </w:pPr>
            <w:r>
              <w:rPr>
                <w:sz w:val="18"/>
                <w:szCs w:val="18"/>
              </w:rPr>
              <w:t>0.7</w:t>
            </w:r>
          </w:p>
        </w:tc>
        <w:tc>
          <w:tcPr>
            <w:tcW w:w="1000" w:type="dxa"/>
            <w:tcBorders>
              <w:top w:val="single" w:sz="1" w:space="0" w:color="CCCCCC"/>
              <w:left w:val="single" w:sz="1" w:space="0" w:color="CCCCCC"/>
              <w:bottom w:val="single" w:sz="1" w:space="0" w:color="CCCCCC"/>
              <w:right w:val="single" w:sz="1" w:space="0" w:color="CCCCCC"/>
            </w:tcBorders>
            <w:vAlign w:val="center"/>
          </w:tcPr>
          <w:p w14:paraId="234DC7ED" w14:textId="77777777" w:rsidR="00247A75" w:rsidRDefault="00000000">
            <w:pPr>
              <w:spacing w:before="40" w:after="40"/>
              <w:jc w:val="center"/>
            </w:pPr>
            <w:r>
              <w:rPr>
                <w:color w:val="D32F2F"/>
                <w:sz w:val="18"/>
                <w:szCs w:val="18"/>
              </w:rPr>
              <w:t>1.0</w:t>
            </w:r>
          </w:p>
        </w:tc>
        <w:tc>
          <w:tcPr>
            <w:tcW w:w="1000" w:type="dxa"/>
            <w:tcBorders>
              <w:top w:val="single" w:sz="1" w:space="0" w:color="CCCCCC"/>
              <w:left w:val="single" w:sz="1" w:space="0" w:color="CCCCCC"/>
              <w:bottom w:val="single" w:sz="1" w:space="0" w:color="CCCCCC"/>
              <w:right w:val="single" w:sz="1" w:space="0" w:color="CCCCCC"/>
            </w:tcBorders>
            <w:vAlign w:val="center"/>
          </w:tcPr>
          <w:p w14:paraId="79FB95AE" w14:textId="77777777" w:rsidR="00247A75" w:rsidRDefault="00000000">
            <w:pPr>
              <w:spacing w:before="40" w:after="40"/>
              <w:jc w:val="center"/>
            </w:pPr>
            <w:r>
              <w:rPr>
                <w:sz w:val="18"/>
                <w:szCs w:val="18"/>
              </w:rPr>
              <w:t>0.7</w:t>
            </w:r>
          </w:p>
        </w:tc>
        <w:tc>
          <w:tcPr>
            <w:tcW w:w="1000" w:type="dxa"/>
            <w:tcBorders>
              <w:top w:val="single" w:sz="1" w:space="0" w:color="CCCCCC"/>
              <w:left w:val="single" w:sz="1" w:space="0" w:color="CCCCCC"/>
              <w:bottom w:val="single" w:sz="1" w:space="0" w:color="CCCCCC"/>
              <w:right w:val="single" w:sz="1" w:space="0" w:color="CCCCCC"/>
            </w:tcBorders>
            <w:vAlign w:val="center"/>
          </w:tcPr>
          <w:p w14:paraId="43AA2919" w14:textId="77777777" w:rsidR="00247A75" w:rsidRDefault="00000000">
            <w:pPr>
              <w:spacing w:before="40" w:after="40"/>
              <w:jc w:val="center"/>
            </w:pPr>
            <w:r>
              <w:rPr>
                <w:sz w:val="18"/>
                <w:szCs w:val="18"/>
              </w:rPr>
              <w:t>0.7</w:t>
            </w:r>
          </w:p>
        </w:tc>
      </w:tr>
      <w:tr w:rsidR="00247A75" w14:paraId="592A256E"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40B7809C" w14:textId="77777777" w:rsidR="00247A75" w:rsidRDefault="00000000">
            <w:pPr>
              <w:spacing w:before="40" w:after="40"/>
              <w:jc w:val="center"/>
            </w:pPr>
            <w:r>
              <w:rPr>
                <w:b/>
                <w:bCs/>
                <w:sz w:val="18"/>
                <w:szCs w:val="18"/>
              </w:rPr>
              <w:t>JEPQ</w:t>
            </w:r>
          </w:p>
        </w:tc>
        <w:tc>
          <w:tcPr>
            <w:tcW w:w="316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5ACDC334" w14:textId="77777777" w:rsidR="00247A75" w:rsidRDefault="00000000">
            <w:pPr>
              <w:spacing w:before="40" w:after="40"/>
            </w:pPr>
            <w:r>
              <w:rPr>
                <w:sz w:val="18"/>
                <w:szCs w:val="18"/>
              </w:rPr>
              <w:t>4yr history, 3yr streak (no cuts)</w:t>
            </w:r>
          </w:p>
        </w:tc>
        <w:tc>
          <w:tcPr>
            <w:tcW w:w="10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22C67643" w14:textId="77777777" w:rsidR="00247A75" w:rsidRDefault="00000000">
            <w:pPr>
              <w:spacing w:before="40" w:after="40"/>
              <w:jc w:val="center"/>
            </w:pPr>
            <w:r>
              <w:rPr>
                <w:sz w:val="18"/>
                <w:szCs w:val="18"/>
              </w:rPr>
              <w:t>0.7</w:t>
            </w:r>
          </w:p>
        </w:tc>
        <w:tc>
          <w:tcPr>
            <w:tcW w:w="10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32B3B00C" w14:textId="77777777" w:rsidR="00247A75" w:rsidRDefault="00000000">
            <w:pPr>
              <w:spacing w:before="40" w:after="40"/>
              <w:jc w:val="center"/>
            </w:pPr>
            <w:r>
              <w:rPr>
                <w:color w:val="D32F2F"/>
                <w:sz w:val="18"/>
                <w:szCs w:val="18"/>
              </w:rPr>
              <w:t>1.0</w:t>
            </w:r>
          </w:p>
        </w:tc>
        <w:tc>
          <w:tcPr>
            <w:tcW w:w="10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32758FAE" w14:textId="77777777" w:rsidR="00247A75" w:rsidRDefault="00000000">
            <w:pPr>
              <w:spacing w:before="40" w:after="40"/>
              <w:jc w:val="center"/>
            </w:pPr>
            <w:r>
              <w:rPr>
                <w:sz w:val="18"/>
                <w:szCs w:val="18"/>
              </w:rPr>
              <w:t>0.7</w:t>
            </w:r>
          </w:p>
        </w:tc>
        <w:tc>
          <w:tcPr>
            <w:tcW w:w="10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6315DF73" w14:textId="77777777" w:rsidR="00247A75" w:rsidRDefault="00000000">
            <w:pPr>
              <w:spacing w:before="40" w:after="40"/>
              <w:jc w:val="center"/>
            </w:pPr>
            <w:r>
              <w:rPr>
                <w:sz w:val="18"/>
                <w:szCs w:val="18"/>
              </w:rPr>
              <w:t>0.7</w:t>
            </w:r>
          </w:p>
        </w:tc>
      </w:tr>
      <w:tr w:rsidR="00247A75" w14:paraId="68785616" w14:textId="77777777">
        <w:tc>
          <w:tcPr>
            <w:tcW w:w="1200" w:type="dxa"/>
            <w:tcBorders>
              <w:top w:val="single" w:sz="1" w:space="0" w:color="CCCCCC"/>
              <w:left w:val="single" w:sz="1" w:space="0" w:color="CCCCCC"/>
              <w:bottom w:val="single" w:sz="1" w:space="0" w:color="CCCCCC"/>
              <w:right w:val="single" w:sz="1" w:space="0" w:color="CCCCCC"/>
            </w:tcBorders>
            <w:vAlign w:val="center"/>
          </w:tcPr>
          <w:p w14:paraId="40EAC0F5" w14:textId="77777777" w:rsidR="00247A75" w:rsidRDefault="00000000">
            <w:pPr>
              <w:spacing w:before="40" w:after="40"/>
              <w:jc w:val="center"/>
            </w:pPr>
            <w:r>
              <w:rPr>
                <w:b/>
                <w:bCs/>
                <w:sz w:val="18"/>
                <w:szCs w:val="18"/>
              </w:rPr>
              <w:t>SCHD</w:t>
            </w:r>
          </w:p>
        </w:tc>
        <w:tc>
          <w:tcPr>
            <w:tcW w:w="3160" w:type="dxa"/>
            <w:tcBorders>
              <w:top w:val="single" w:sz="1" w:space="0" w:color="CCCCCC"/>
              <w:left w:val="single" w:sz="1" w:space="0" w:color="CCCCCC"/>
              <w:bottom w:val="single" w:sz="1" w:space="0" w:color="CCCCCC"/>
              <w:right w:val="single" w:sz="1" w:space="0" w:color="CCCCCC"/>
            </w:tcBorders>
            <w:vAlign w:val="center"/>
          </w:tcPr>
          <w:p w14:paraId="08F9423C" w14:textId="77777777" w:rsidR="00247A75" w:rsidRDefault="00000000">
            <w:pPr>
              <w:spacing w:before="40" w:after="40"/>
            </w:pPr>
            <w:r>
              <w:rPr>
                <w:sz w:val="18"/>
                <w:szCs w:val="18"/>
              </w:rPr>
              <w:t>15yr history, 14yr streak</w:t>
            </w:r>
          </w:p>
        </w:tc>
        <w:tc>
          <w:tcPr>
            <w:tcW w:w="1000" w:type="dxa"/>
            <w:tcBorders>
              <w:top w:val="single" w:sz="1" w:space="0" w:color="CCCCCC"/>
              <w:left w:val="single" w:sz="1" w:space="0" w:color="CCCCCC"/>
              <w:bottom w:val="single" w:sz="1" w:space="0" w:color="CCCCCC"/>
              <w:right w:val="single" w:sz="1" w:space="0" w:color="CCCCCC"/>
            </w:tcBorders>
            <w:vAlign w:val="center"/>
          </w:tcPr>
          <w:p w14:paraId="5D6EB95C" w14:textId="77777777" w:rsidR="00247A75" w:rsidRDefault="00000000">
            <w:pPr>
              <w:spacing w:before="40" w:after="40"/>
              <w:jc w:val="center"/>
            </w:pPr>
            <w:r>
              <w:rPr>
                <w:sz w:val="18"/>
                <w:szCs w:val="18"/>
              </w:rPr>
              <w:t>1.0</w:t>
            </w:r>
          </w:p>
        </w:tc>
        <w:tc>
          <w:tcPr>
            <w:tcW w:w="1000" w:type="dxa"/>
            <w:tcBorders>
              <w:top w:val="single" w:sz="1" w:space="0" w:color="CCCCCC"/>
              <w:left w:val="single" w:sz="1" w:space="0" w:color="CCCCCC"/>
              <w:bottom w:val="single" w:sz="1" w:space="0" w:color="CCCCCC"/>
              <w:right w:val="single" w:sz="1" w:space="0" w:color="CCCCCC"/>
            </w:tcBorders>
            <w:vAlign w:val="center"/>
          </w:tcPr>
          <w:p w14:paraId="7BC9D5C9" w14:textId="77777777" w:rsidR="00247A75" w:rsidRDefault="00000000">
            <w:pPr>
              <w:spacing w:before="40" w:after="40"/>
              <w:jc w:val="center"/>
            </w:pPr>
            <w:r>
              <w:rPr>
                <w:sz w:val="18"/>
                <w:szCs w:val="18"/>
              </w:rPr>
              <w:t>1.0</w:t>
            </w:r>
          </w:p>
        </w:tc>
        <w:tc>
          <w:tcPr>
            <w:tcW w:w="1000" w:type="dxa"/>
            <w:tcBorders>
              <w:top w:val="single" w:sz="1" w:space="0" w:color="CCCCCC"/>
              <w:left w:val="single" w:sz="1" w:space="0" w:color="CCCCCC"/>
              <w:bottom w:val="single" w:sz="1" w:space="0" w:color="CCCCCC"/>
              <w:right w:val="single" w:sz="1" w:space="0" w:color="CCCCCC"/>
            </w:tcBorders>
            <w:vAlign w:val="center"/>
          </w:tcPr>
          <w:p w14:paraId="091B7848" w14:textId="77777777" w:rsidR="00247A75" w:rsidRDefault="00000000">
            <w:pPr>
              <w:spacing w:before="40" w:after="40"/>
              <w:jc w:val="center"/>
            </w:pPr>
            <w:r>
              <w:rPr>
                <w:sz w:val="18"/>
                <w:szCs w:val="18"/>
              </w:rPr>
              <w:t>1.0</w:t>
            </w:r>
          </w:p>
        </w:tc>
        <w:tc>
          <w:tcPr>
            <w:tcW w:w="1000" w:type="dxa"/>
            <w:tcBorders>
              <w:top w:val="single" w:sz="1" w:space="0" w:color="CCCCCC"/>
              <w:left w:val="single" w:sz="1" w:space="0" w:color="CCCCCC"/>
              <w:bottom w:val="single" w:sz="1" w:space="0" w:color="CCCCCC"/>
              <w:right w:val="single" w:sz="1" w:space="0" w:color="CCCCCC"/>
            </w:tcBorders>
            <w:vAlign w:val="center"/>
          </w:tcPr>
          <w:p w14:paraId="7DE22A29" w14:textId="77777777" w:rsidR="00247A75" w:rsidRDefault="00000000">
            <w:pPr>
              <w:spacing w:before="40" w:after="40"/>
              <w:jc w:val="center"/>
            </w:pPr>
            <w:r>
              <w:rPr>
                <w:sz w:val="18"/>
                <w:szCs w:val="18"/>
              </w:rPr>
              <w:t>1.0</w:t>
            </w:r>
          </w:p>
        </w:tc>
      </w:tr>
      <w:tr w:rsidR="00247A75" w14:paraId="1F7CB2A7"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6B8B791C" w14:textId="77777777" w:rsidR="00247A75" w:rsidRDefault="00000000">
            <w:pPr>
              <w:spacing w:before="40" w:after="40"/>
              <w:jc w:val="center"/>
            </w:pPr>
            <w:r>
              <w:rPr>
                <w:b/>
                <w:bCs/>
                <w:sz w:val="18"/>
                <w:szCs w:val="18"/>
              </w:rPr>
              <w:t>O</w:t>
            </w:r>
          </w:p>
        </w:tc>
        <w:tc>
          <w:tcPr>
            <w:tcW w:w="316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60B20F52" w14:textId="77777777" w:rsidR="00247A75" w:rsidRDefault="00000000">
            <w:pPr>
              <w:spacing w:before="40" w:after="40"/>
            </w:pPr>
            <w:r>
              <w:rPr>
                <w:sz w:val="18"/>
                <w:szCs w:val="18"/>
              </w:rPr>
              <w:t>32yr history, 29yr streak</w:t>
            </w:r>
          </w:p>
        </w:tc>
        <w:tc>
          <w:tcPr>
            <w:tcW w:w="10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2A02A936" w14:textId="77777777" w:rsidR="00247A75" w:rsidRDefault="00000000">
            <w:pPr>
              <w:spacing w:before="40" w:after="40"/>
              <w:jc w:val="center"/>
            </w:pPr>
            <w:r>
              <w:rPr>
                <w:sz w:val="18"/>
                <w:szCs w:val="18"/>
              </w:rPr>
              <w:t>1.0</w:t>
            </w:r>
          </w:p>
        </w:tc>
        <w:tc>
          <w:tcPr>
            <w:tcW w:w="10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43225016" w14:textId="77777777" w:rsidR="00247A75" w:rsidRDefault="00000000">
            <w:pPr>
              <w:spacing w:before="40" w:after="40"/>
              <w:jc w:val="center"/>
            </w:pPr>
            <w:r>
              <w:rPr>
                <w:sz w:val="18"/>
                <w:szCs w:val="18"/>
              </w:rPr>
              <w:t>1.0</w:t>
            </w:r>
          </w:p>
        </w:tc>
        <w:tc>
          <w:tcPr>
            <w:tcW w:w="10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1667432C" w14:textId="77777777" w:rsidR="00247A75" w:rsidRDefault="00000000">
            <w:pPr>
              <w:spacing w:before="40" w:after="40"/>
              <w:jc w:val="center"/>
            </w:pPr>
            <w:r>
              <w:rPr>
                <w:sz w:val="18"/>
                <w:szCs w:val="18"/>
              </w:rPr>
              <w:t>1.0</w:t>
            </w:r>
          </w:p>
        </w:tc>
        <w:tc>
          <w:tcPr>
            <w:tcW w:w="10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1288A709" w14:textId="77777777" w:rsidR="00247A75" w:rsidRDefault="00000000">
            <w:pPr>
              <w:spacing w:before="40" w:after="40"/>
              <w:jc w:val="center"/>
            </w:pPr>
            <w:r>
              <w:rPr>
                <w:sz w:val="18"/>
                <w:szCs w:val="18"/>
              </w:rPr>
              <w:t>1.0</w:t>
            </w:r>
          </w:p>
        </w:tc>
      </w:tr>
      <w:tr w:rsidR="00247A75" w14:paraId="723B020B" w14:textId="77777777">
        <w:tc>
          <w:tcPr>
            <w:tcW w:w="1200" w:type="dxa"/>
            <w:tcBorders>
              <w:top w:val="single" w:sz="1" w:space="0" w:color="CCCCCC"/>
              <w:left w:val="single" w:sz="1" w:space="0" w:color="CCCCCC"/>
              <w:bottom w:val="single" w:sz="1" w:space="0" w:color="CCCCCC"/>
              <w:right w:val="single" w:sz="1" w:space="0" w:color="CCCCCC"/>
            </w:tcBorders>
            <w:vAlign w:val="center"/>
          </w:tcPr>
          <w:p w14:paraId="0DDE74DB" w14:textId="77777777" w:rsidR="00247A75" w:rsidRDefault="00000000">
            <w:pPr>
              <w:spacing w:before="40" w:after="40"/>
              <w:jc w:val="center"/>
            </w:pPr>
            <w:r>
              <w:rPr>
                <w:b/>
                <w:bCs/>
                <w:sz w:val="18"/>
                <w:szCs w:val="18"/>
              </w:rPr>
              <w:t>JNJ</w:t>
            </w:r>
          </w:p>
        </w:tc>
        <w:tc>
          <w:tcPr>
            <w:tcW w:w="3160" w:type="dxa"/>
            <w:tcBorders>
              <w:top w:val="single" w:sz="1" w:space="0" w:color="CCCCCC"/>
              <w:left w:val="single" w:sz="1" w:space="0" w:color="CCCCCC"/>
              <w:bottom w:val="single" w:sz="1" w:space="0" w:color="CCCCCC"/>
              <w:right w:val="single" w:sz="1" w:space="0" w:color="CCCCCC"/>
            </w:tcBorders>
            <w:vAlign w:val="center"/>
          </w:tcPr>
          <w:p w14:paraId="2A35B446" w14:textId="77777777" w:rsidR="00247A75" w:rsidRDefault="00000000">
            <w:pPr>
              <w:spacing w:before="40" w:after="40"/>
            </w:pPr>
            <w:r>
              <w:rPr>
                <w:sz w:val="18"/>
                <w:szCs w:val="18"/>
              </w:rPr>
              <w:t>64yr history, 63yr streak</w:t>
            </w:r>
          </w:p>
        </w:tc>
        <w:tc>
          <w:tcPr>
            <w:tcW w:w="1000" w:type="dxa"/>
            <w:tcBorders>
              <w:top w:val="single" w:sz="1" w:space="0" w:color="CCCCCC"/>
              <w:left w:val="single" w:sz="1" w:space="0" w:color="CCCCCC"/>
              <w:bottom w:val="single" w:sz="1" w:space="0" w:color="CCCCCC"/>
              <w:right w:val="single" w:sz="1" w:space="0" w:color="CCCCCC"/>
            </w:tcBorders>
            <w:vAlign w:val="center"/>
          </w:tcPr>
          <w:p w14:paraId="6951BC8A" w14:textId="77777777" w:rsidR="00247A75" w:rsidRDefault="00000000">
            <w:pPr>
              <w:spacing w:before="40" w:after="40"/>
              <w:jc w:val="center"/>
            </w:pPr>
            <w:r>
              <w:rPr>
                <w:sz w:val="18"/>
                <w:szCs w:val="18"/>
              </w:rPr>
              <w:t>1.0</w:t>
            </w:r>
          </w:p>
        </w:tc>
        <w:tc>
          <w:tcPr>
            <w:tcW w:w="1000" w:type="dxa"/>
            <w:tcBorders>
              <w:top w:val="single" w:sz="1" w:space="0" w:color="CCCCCC"/>
              <w:left w:val="single" w:sz="1" w:space="0" w:color="CCCCCC"/>
              <w:bottom w:val="single" w:sz="1" w:space="0" w:color="CCCCCC"/>
              <w:right w:val="single" w:sz="1" w:space="0" w:color="CCCCCC"/>
            </w:tcBorders>
            <w:vAlign w:val="center"/>
          </w:tcPr>
          <w:p w14:paraId="7FBAF589" w14:textId="77777777" w:rsidR="00247A75" w:rsidRDefault="00000000">
            <w:pPr>
              <w:spacing w:before="40" w:after="40"/>
              <w:jc w:val="center"/>
            </w:pPr>
            <w:r>
              <w:rPr>
                <w:sz w:val="18"/>
                <w:szCs w:val="18"/>
              </w:rPr>
              <w:t>1.0</w:t>
            </w:r>
          </w:p>
        </w:tc>
        <w:tc>
          <w:tcPr>
            <w:tcW w:w="1000" w:type="dxa"/>
            <w:tcBorders>
              <w:top w:val="single" w:sz="1" w:space="0" w:color="CCCCCC"/>
              <w:left w:val="single" w:sz="1" w:space="0" w:color="CCCCCC"/>
              <w:bottom w:val="single" w:sz="1" w:space="0" w:color="CCCCCC"/>
              <w:right w:val="single" w:sz="1" w:space="0" w:color="CCCCCC"/>
            </w:tcBorders>
            <w:vAlign w:val="center"/>
          </w:tcPr>
          <w:p w14:paraId="426A8F31" w14:textId="77777777" w:rsidR="00247A75" w:rsidRDefault="00000000">
            <w:pPr>
              <w:spacing w:before="40" w:after="40"/>
              <w:jc w:val="center"/>
            </w:pPr>
            <w:r>
              <w:rPr>
                <w:sz w:val="18"/>
                <w:szCs w:val="18"/>
              </w:rPr>
              <w:t>1.0</w:t>
            </w:r>
          </w:p>
        </w:tc>
        <w:tc>
          <w:tcPr>
            <w:tcW w:w="1000" w:type="dxa"/>
            <w:tcBorders>
              <w:top w:val="single" w:sz="1" w:space="0" w:color="CCCCCC"/>
              <w:left w:val="single" w:sz="1" w:space="0" w:color="CCCCCC"/>
              <w:bottom w:val="single" w:sz="1" w:space="0" w:color="CCCCCC"/>
              <w:right w:val="single" w:sz="1" w:space="0" w:color="CCCCCC"/>
            </w:tcBorders>
            <w:vAlign w:val="center"/>
          </w:tcPr>
          <w:p w14:paraId="0D041F8C" w14:textId="77777777" w:rsidR="00247A75" w:rsidRDefault="00000000">
            <w:pPr>
              <w:spacing w:before="40" w:after="40"/>
              <w:jc w:val="center"/>
            </w:pPr>
            <w:r>
              <w:rPr>
                <w:sz w:val="18"/>
                <w:szCs w:val="18"/>
              </w:rPr>
              <w:t>1.0</w:t>
            </w:r>
          </w:p>
        </w:tc>
      </w:tr>
      <w:tr w:rsidR="00247A75" w14:paraId="7393D21B"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5CCA4513" w14:textId="77777777" w:rsidR="00247A75" w:rsidRDefault="00000000">
            <w:pPr>
              <w:spacing w:before="40" w:after="40"/>
              <w:jc w:val="center"/>
            </w:pPr>
            <w:r>
              <w:rPr>
                <w:b/>
                <w:bCs/>
                <w:sz w:val="18"/>
                <w:szCs w:val="18"/>
              </w:rPr>
              <w:t>MO</w:t>
            </w:r>
          </w:p>
        </w:tc>
        <w:tc>
          <w:tcPr>
            <w:tcW w:w="316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56C8C517" w14:textId="77777777" w:rsidR="00247A75" w:rsidRDefault="00000000">
            <w:pPr>
              <w:spacing w:before="40" w:after="40"/>
            </w:pPr>
            <w:r>
              <w:rPr>
                <w:sz w:val="18"/>
                <w:szCs w:val="18"/>
              </w:rPr>
              <w:t>64yr history, 16yr streak</w:t>
            </w:r>
          </w:p>
        </w:tc>
        <w:tc>
          <w:tcPr>
            <w:tcW w:w="10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6F3DDF5D" w14:textId="77777777" w:rsidR="00247A75" w:rsidRDefault="00000000">
            <w:pPr>
              <w:spacing w:before="40" w:after="40"/>
              <w:jc w:val="center"/>
            </w:pPr>
            <w:r>
              <w:rPr>
                <w:sz w:val="18"/>
                <w:szCs w:val="18"/>
              </w:rPr>
              <w:t>1.0</w:t>
            </w:r>
          </w:p>
        </w:tc>
        <w:tc>
          <w:tcPr>
            <w:tcW w:w="10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33AEF516" w14:textId="77777777" w:rsidR="00247A75" w:rsidRDefault="00000000">
            <w:pPr>
              <w:spacing w:before="40" w:after="40"/>
              <w:jc w:val="center"/>
            </w:pPr>
            <w:r>
              <w:rPr>
                <w:color w:val="D32F2F"/>
                <w:sz w:val="18"/>
                <w:szCs w:val="18"/>
              </w:rPr>
              <w:t>0.3</w:t>
            </w:r>
          </w:p>
        </w:tc>
        <w:tc>
          <w:tcPr>
            <w:tcW w:w="10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59FD2209" w14:textId="77777777" w:rsidR="00247A75" w:rsidRDefault="00000000">
            <w:pPr>
              <w:spacing w:before="40" w:after="40"/>
              <w:jc w:val="center"/>
            </w:pPr>
            <w:r>
              <w:rPr>
                <w:sz w:val="18"/>
                <w:szCs w:val="18"/>
              </w:rPr>
              <w:t>1.0</w:t>
            </w:r>
          </w:p>
        </w:tc>
        <w:tc>
          <w:tcPr>
            <w:tcW w:w="10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5F0F9353" w14:textId="77777777" w:rsidR="00247A75" w:rsidRDefault="00000000">
            <w:pPr>
              <w:spacing w:before="40" w:after="40"/>
              <w:jc w:val="center"/>
            </w:pPr>
            <w:r>
              <w:rPr>
                <w:sz w:val="18"/>
                <w:szCs w:val="18"/>
              </w:rPr>
              <w:t>1.0</w:t>
            </w:r>
          </w:p>
        </w:tc>
      </w:tr>
      <w:tr w:rsidR="00247A75" w14:paraId="1D030E26" w14:textId="77777777">
        <w:tc>
          <w:tcPr>
            <w:tcW w:w="1200" w:type="dxa"/>
            <w:tcBorders>
              <w:top w:val="single" w:sz="1" w:space="0" w:color="CCCCCC"/>
              <w:left w:val="single" w:sz="1" w:space="0" w:color="CCCCCC"/>
              <w:bottom w:val="single" w:sz="1" w:space="0" w:color="CCCCCC"/>
              <w:right w:val="single" w:sz="1" w:space="0" w:color="CCCCCC"/>
            </w:tcBorders>
            <w:vAlign w:val="center"/>
          </w:tcPr>
          <w:p w14:paraId="08F058C9" w14:textId="77777777" w:rsidR="00247A75" w:rsidRDefault="00000000">
            <w:pPr>
              <w:spacing w:before="40" w:after="40"/>
              <w:jc w:val="center"/>
            </w:pPr>
            <w:r>
              <w:rPr>
                <w:b/>
                <w:bCs/>
                <w:sz w:val="18"/>
                <w:szCs w:val="18"/>
              </w:rPr>
              <w:t>KO</w:t>
            </w:r>
          </w:p>
        </w:tc>
        <w:tc>
          <w:tcPr>
            <w:tcW w:w="3160" w:type="dxa"/>
            <w:tcBorders>
              <w:top w:val="single" w:sz="1" w:space="0" w:color="CCCCCC"/>
              <w:left w:val="single" w:sz="1" w:space="0" w:color="CCCCCC"/>
              <w:bottom w:val="single" w:sz="1" w:space="0" w:color="CCCCCC"/>
              <w:right w:val="single" w:sz="1" w:space="0" w:color="CCCCCC"/>
            </w:tcBorders>
            <w:vAlign w:val="center"/>
          </w:tcPr>
          <w:p w14:paraId="078ADDFB" w14:textId="77777777" w:rsidR="00247A75" w:rsidRDefault="00000000">
            <w:pPr>
              <w:spacing w:before="40" w:after="40"/>
            </w:pPr>
            <w:r>
              <w:rPr>
                <w:sz w:val="18"/>
                <w:szCs w:val="18"/>
              </w:rPr>
              <w:t>64yr history, 23yr streak</w:t>
            </w:r>
          </w:p>
        </w:tc>
        <w:tc>
          <w:tcPr>
            <w:tcW w:w="1000" w:type="dxa"/>
            <w:tcBorders>
              <w:top w:val="single" w:sz="1" w:space="0" w:color="CCCCCC"/>
              <w:left w:val="single" w:sz="1" w:space="0" w:color="CCCCCC"/>
              <w:bottom w:val="single" w:sz="1" w:space="0" w:color="CCCCCC"/>
              <w:right w:val="single" w:sz="1" w:space="0" w:color="CCCCCC"/>
            </w:tcBorders>
            <w:vAlign w:val="center"/>
          </w:tcPr>
          <w:p w14:paraId="75729A2E" w14:textId="77777777" w:rsidR="00247A75" w:rsidRDefault="00000000">
            <w:pPr>
              <w:spacing w:before="40" w:after="40"/>
              <w:jc w:val="center"/>
            </w:pPr>
            <w:r>
              <w:rPr>
                <w:sz w:val="18"/>
                <w:szCs w:val="18"/>
              </w:rPr>
              <w:t>1.0</w:t>
            </w:r>
          </w:p>
        </w:tc>
        <w:tc>
          <w:tcPr>
            <w:tcW w:w="1000" w:type="dxa"/>
            <w:tcBorders>
              <w:top w:val="single" w:sz="1" w:space="0" w:color="CCCCCC"/>
              <w:left w:val="single" w:sz="1" w:space="0" w:color="CCCCCC"/>
              <w:bottom w:val="single" w:sz="1" w:space="0" w:color="CCCCCC"/>
              <w:right w:val="single" w:sz="1" w:space="0" w:color="CCCCCC"/>
            </w:tcBorders>
            <w:vAlign w:val="center"/>
          </w:tcPr>
          <w:p w14:paraId="4891D929" w14:textId="77777777" w:rsidR="00247A75" w:rsidRDefault="00000000">
            <w:pPr>
              <w:spacing w:before="40" w:after="40"/>
              <w:jc w:val="center"/>
            </w:pPr>
            <w:r>
              <w:rPr>
                <w:color w:val="E65100"/>
                <w:sz w:val="18"/>
                <w:szCs w:val="18"/>
              </w:rPr>
              <w:t>0.7</w:t>
            </w:r>
          </w:p>
        </w:tc>
        <w:tc>
          <w:tcPr>
            <w:tcW w:w="1000" w:type="dxa"/>
            <w:tcBorders>
              <w:top w:val="single" w:sz="1" w:space="0" w:color="CCCCCC"/>
              <w:left w:val="single" w:sz="1" w:space="0" w:color="CCCCCC"/>
              <w:bottom w:val="single" w:sz="1" w:space="0" w:color="CCCCCC"/>
              <w:right w:val="single" w:sz="1" w:space="0" w:color="CCCCCC"/>
            </w:tcBorders>
            <w:vAlign w:val="center"/>
          </w:tcPr>
          <w:p w14:paraId="1E44DCE1" w14:textId="77777777" w:rsidR="00247A75" w:rsidRDefault="00000000">
            <w:pPr>
              <w:spacing w:before="40" w:after="40"/>
              <w:jc w:val="center"/>
            </w:pPr>
            <w:r>
              <w:rPr>
                <w:sz w:val="18"/>
                <w:szCs w:val="18"/>
              </w:rPr>
              <w:t>1.0</w:t>
            </w:r>
          </w:p>
        </w:tc>
        <w:tc>
          <w:tcPr>
            <w:tcW w:w="1000" w:type="dxa"/>
            <w:tcBorders>
              <w:top w:val="single" w:sz="1" w:space="0" w:color="CCCCCC"/>
              <w:left w:val="single" w:sz="1" w:space="0" w:color="CCCCCC"/>
              <w:bottom w:val="single" w:sz="1" w:space="0" w:color="CCCCCC"/>
              <w:right w:val="single" w:sz="1" w:space="0" w:color="CCCCCC"/>
            </w:tcBorders>
            <w:vAlign w:val="center"/>
          </w:tcPr>
          <w:p w14:paraId="52DA5531" w14:textId="77777777" w:rsidR="00247A75" w:rsidRDefault="00000000">
            <w:pPr>
              <w:spacing w:before="40" w:after="40"/>
              <w:jc w:val="center"/>
            </w:pPr>
            <w:r>
              <w:rPr>
                <w:sz w:val="18"/>
                <w:szCs w:val="18"/>
              </w:rPr>
              <w:t>1.0</w:t>
            </w:r>
          </w:p>
        </w:tc>
      </w:tr>
      <w:tr w:rsidR="00247A75" w14:paraId="2C44C979"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19427703" w14:textId="77777777" w:rsidR="00247A75" w:rsidRDefault="00000000">
            <w:pPr>
              <w:spacing w:before="40" w:after="40"/>
              <w:jc w:val="center"/>
            </w:pPr>
            <w:r>
              <w:rPr>
                <w:b/>
                <w:bCs/>
                <w:sz w:val="18"/>
                <w:szCs w:val="18"/>
              </w:rPr>
              <w:t>MAIN</w:t>
            </w:r>
          </w:p>
        </w:tc>
        <w:tc>
          <w:tcPr>
            <w:tcW w:w="316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25DC7234" w14:textId="77777777" w:rsidR="00247A75" w:rsidRDefault="00000000">
            <w:pPr>
              <w:spacing w:before="40" w:after="40"/>
            </w:pPr>
            <w:r>
              <w:rPr>
                <w:sz w:val="18"/>
                <w:szCs w:val="18"/>
              </w:rPr>
              <w:t>19yr history, 5yr streak</w:t>
            </w:r>
          </w:p>
        </w:tc>
        <w:tc>
          <w:tcPr>
            <w:tcW w:w="10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1515ECA4" w14:textId="77777777" w:rsidR="00247A75" w:rsidRDefault="00000000">
            <w:pPr>
              <w:spacing w:before="40" w:after="40"/>
              <w:jc w:val="center"/>
            </w:pPr>
            <w:r>
              <w:rPr>
                <w:sz w:val="18"/>
                <w:szCs w:val="18"/>
              </w:rPr>
              <w:t>0.7</w:t>
            </w:r>
          </w:p>
        </w:tc>
        <w:tc>
          <w:tcPr>
            <w:tcW w:w="10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05240874" w14:textId="77777777" w:rsidR="00247A75" w:rsidRDefault="00000000">
            <w:pPr>
              <w:spacing w:before="40" w:after="40"/>
              <w:jc w:val="center"/>
            </w:pPr>
            <w:r>
              <w:rPr>
                <w:color w:val="D32F2F"/>
                <w:sz w:val="18"/>
                <w:szCs w:val="18"/>
              </w:rPr>
              <w:t>0.3</w:t>
            </w:r>
          </w:p>
        </w:tc>
        <w:tc>
          <w:tcPr>
            <w:tcW w:w="10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5264F872" w14:textId="77777777" w:rsidR="00247A75" w:rsidRDefault="00000000">
            <w:pPr>
              <w:spacing w:before="40" w:after="40"/>
              <w:jc w:val="center"/>
            </w:pPr>
            <w:r>
              <w:rPr>
                <w:sz w:val="18"/>
                <w:szCs w:val="18"/>
              </w:rPr>
              <w:t>0.7</w:t>
            </w:r>
          </w:p>
        </w:tc>
        <w:tc>
          <w:tcPr>
            <w:tcW w:w="10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069C10FF" w14:textId="77777777" w:rsidR="00247A75" w:rsidRDefault="00000000">
            <w:pPr>
              <w:spacing w:before="40" w:after="40"/>
              <w:jc w:val="center"/>
            </w:pPr>
            <w:r>
              <w:rPr>
                <w:sz w:val="18"/>
                <w:szCs w:val="18"/>
              </w:rPr>
              <w:t>0.7</w:t>
            </w:r>
          </w:p>
        </w:tc>
      </w:tr>
      <w:tr w:rsidR="00247A75" w14:paraId="000FDE06" w14:textId="77777777">
        <w:tc>
          <w:tcPr>
            <w:tcW w:w="1200" w:type="dxa"/>
            <w:tcBorders>
              <w:top w:val="single" w:sz="1" w:space="0" w:color="CCCCCC"/>
              <w:left w:val="single" w:sz="1" w:space="0" w:color="CCCCCC"/>
              <w:bottom w:val="single" w:sz="1" w:space="0" w:color="CCCCCC"/>
              <w:right w:val="single" w:sz="1" w:space="0" w:color="CCCCCC"/>
            </w:tcBorders>
            <w:vAlign w:val="center"/>
          </w:tcPr>
          <w:p w14:paraId="65F201B1" w14:textId="77777777" w:rsidR="00247A75" w:rsidRDefault="00000000">
            <w:pPr>
              <w:spacing w:before="40" w:after="40"/>
              <w:jc w:val="center"/>
            </w:pPr>
            <w:r>
              <w:rPr>
                <w:b/>
                <w:bCs/>
                <w:sz w:val="18"/>
                <w:szCs w:val="18"/>
              </w:rPr>
              <w:t>XYLD</w:t>
            </w:r>
          </w:p>
        </w:tc>
        <w:tc>
          <w:tcPr>
            <w:tcW w:w="3160" w:type="dxa"/>
            <w:tcBorders>
              <w:top w:val="single" w:sz="1" w:space="0" w:color="CCCCCC"/>
              <w:left w:val="single" w:sz="1" w:space="0" w:color="CCCCCC"/>
              <w:bottom w:val="single" w:sz="1" w:space="0" w:color="CCCCCC"/>
              <w:right w:val="single" w:sz="1" w:space="0" w:color="CCCCCC"/>
            </w:tcBorders>
            <w:vAlign w:val="center"/>
          </w:tcPr>
          <w:p w14:paraId="1037E23C" w14:textId="77777777" w:rsidR="00247A75" w:rsidRDefault="00000000">
            <w:pPr>
              <w:spacing w:before="40" w:after="40"/>
            </w:pPr>
            <w:r>
              <w:rPr>
                <w:sz w:val="18"/>
                <w:szCs w:val="18"/>
              </w:rPr>
              <w:t>13yr history, 0yr streak (recent cut)</w:t>
            </w:r>
          </w:p>
        </w:tc>
        <w:tc>
          <w:tcPr>
            <w:tcW w:w="1000" w:type="dxa"/>
            <w:tcBorders>
              <w:top w:val="single" w:sz="1" w:space="0" w:color="CCCCCC"/>
              <w:left w:val="single" w:sz="1" w:space="0" w:color="CCCCCC"/>
              <w:bottom w:val="single" w:sz="1" w:space="0" w:color="CCCCCC"/>
              <w:right w:val="single" w:sz="1" w:space="0" w:color="CCCCCC"/>
            </w:tcBorders>
            <w:vAlign w:val="center"/>
          </w:tcPr>
          <w:p w14:paraId="4AEEBFBC" w14:textId="77777777" w:rsidR="00247A75" w:rsidRDefault="00000000">
            <w:pPr>
              <w:spacing w:before="40" w:after="40"/>
              <w:jc w:val="center"/>
            </w:pPr>
            <w:r>
              <w:rPr>
                <w:sz w:val="18"/>
                <w:szCs w:val="18"/>
              </w:rPr>
              <w:t>0.0</w:t>
            </w:r>
          </w:p>
        </w:tc>
        <w:tc>
          <w:tcPr>
            <w:tcW w:w="1000" w:type="dxa"/>
            <w:tcBorders>
              <w:top w:val="single" w:sz="1" w:space="0" w:color="CCCCCC"/>
              <w:left w:val="single" w:sz="1" w:space="0" w:color="CCCCCC"/>
              <w:bottom w:val="single" w:sz="1" w:space="0" w:color="CCCCCC"/>
              <w:right w:val="single" w:sz="1" w:space="0" w:color="CCCCCC"/>
            </w:tcBorders>
            <w:vAlign w:val="center"/>
          </w:tcPr>
          <w:p w14:paraId="443E6205" w14:textId="77777777" w:rsidR="00247A75" w:rsidRDefault="00000000">
            <w:pPr>
              <w:spacing w:before="40" w:after="40"/>
              <w:jc w:val="center"/>
            </w:pPr>
            <w:r>
              <w:rPr>
                <w:sz w:val="18"/>
                <w:szCs w:val="18"/>
              </w:rPr>
              <w:t>0.0</w:t>
            </w:r>
          </w:p>
        </w:tc>
        <w:tc>
          <w:tcPr>
            <w:tcW w:w="1000" w:type="dxa"/>
            <w:tcBorders>
              <w:top w:val="single" w:sz="1" w:space="0" w:color="CCCCCC"/>
              <w:left w:val="single" w:sz="1" w:space="0" w:color="CCCCCC"/>
              <w:bottom w:val="single" w:sz="1" w:space="0" w:color="CCCCCC"/>
              <w:right w:val="single" w:sz="1" w:space="0" w:color="CCCCCC"/>
            </w:tcBorders>
            <w:vAlign w:val="center"/>
          </w:tcPr>
          <w:p w14:paraId="284321AD" w14:textId="77777777" w:rsidR="00247A75" w:rsidRDefault="00000000">
            <w:pPr>
              <w:spacing w:before="40" w:after="40"/>
              <w:jc w:val="center"/>
            </w:pPr>
            <w:r>
              <w:rPr>
                <w:sz w:val="18"/>
                <w:szCs w:val="18"/>
              </w:rPr>
              <w:t>0.0</w:t>
            </w:r>
          </w:p>
        </w:tc>
        <w:tc>
          <w:tcPr>
            <w:tcW w:w="1000" w:type="dxa"/>
            <w:tcBorders>
              <w:top w:val="single" w:sz="1" w:space="0" w:color="CCCCCC"/>
              <w:left w:val="single" w:sz="1" w:space="0" w:color="CCCCCC"/>
              <w:bottom w:val="single" w:sz="1" w:space="0" w:color="CCCCCC"/>
              <w:right w:val="single" w:sz="1" w:space="0" w:color="CCCCCC"/>
            </w:tcBorders>
            <w:vAlign w:val="center"/>
          </w:tcPr>
          <w:p w14:paraId="326FA4BE" w14:textId="77777777" w:rsidR="00247A75" w:rsidRDefault="00000000">
            <w:pPr>
              <w:spacing w:before="40" w:after="40"/>
              <w:jc w:val="center"/>
            </w:pPr>
            <w:r>
              <w:rPr>
                <w:sz w:val="18"/>
                <w:szCs w:val="18"/>
              </w:rPr>
              <w:t>0.0</w:t>
            </w:r>
          </w:p>
        </w:tc>
      </w:tr>
    </w:tbl>
    <w:p w14:paraId="7BC54D37" w14:textId="77777777" w:rsidR="00247A75" w:rsidRDefault="00247A75">
      <w:pPr>
        <w:spacing w:before="24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7"/>
      </w:tblGrid>
      <w:tr w:rsidR="00247A75" w14:paraId="093D76EB" w14:textId="77777777">
        <w:tc>
          <w:tcPr>
            <w:tcW w:w="9360" w:type="dxa"/>
            <w:tcBorders>
              <w:top w:val="single" w:sz="1" w:space="0" w:color="096B5A"/>
              <w:left w:val="single" w:sz="6" w:space="0" w:color="096B5A"/>
              <w:bottom w:val="single" w:sz="1" w:space="0" w:color="096B5A"/>
              <w:right w:val="single" w:sz="1" w:space="0" w:color="096B5A"/>
            </w:tcBorders>
            <w:shd w:val="clear" w:color="auto" w:fill="E8F5F2"/>
          </w:tcPr>
          <w:p w14:paraId="5B302A4C" w14:textId="77777777" w:rsidR="00247A75" w:rsidRDefault="00000000">
            <w:pPr>
              <w:spacing w:before="100" w:after="40"/>
            </w:pPr>
            <w:r>
              <w:rPr>
                <w:b/>
                <w:bCs/>
                <w:color w:val="096B5A"/>
                <w:sz w:val="20"/>
                <w:szCs w:val="20"/>
              </w:rPr>
              <w:t>Key Finding</w:t>
            </w:r>
          </w:p>
          <w:p w14:paraId="61D37BB3" w14:textId="77777777" w:rsidR="00247A75" w:rsidRDefault="00000000">
            <w:pPr>
              <w:spacing w:after="100"/>
            </w:pPr>
            <w:r>
              <w:rPr>
                <w:sz w:val="19"/>
                <w:szCs w:val="19"/>
              </w:rPr>
              <w:t>Approach B (Ratio) has a fatal flaw: it penalizes blue chips. Altria (MO) with 64 years of history and a 16-year current streak gets rank 0.3 because 16/63 = 25%. Coca-Cola gets 0.7. Meanwhile, SPYI with just 3 years of data gets a perfect 1.0 — the exact opposite of the intended outcome.</w:t>
            </w:r>
          </w:p>
        </w:tc>
      </w:tr>
    </w:tbl>
    <w:p w14:paraId="1607D6A3" w14:textId="77777777" w:rsidR="00247A75" w:rsidRDefault="00000000">
      <w:pPr>
        <w:pStyle w:val="Heading2"/>
        <w:spacing w:before="300"/>
      </w:pPr>
      <w:r>
        <w:t>Results: Fairness Gap</w:t>
      </w:r>
    </w:p>
    <w:p w14:paraId="45C1E6B5" w14:textId="77777777" w:rsidR="00247A75" w:rsidRDefault="00000000">
      <w:pPr>
        <w:spacing w:after="120"/>
      </w:pPr>
      <w:r>
        <w:t>We split the 158 tickers into two groups based on dividend history length and compared the average Track Record rank score each approach assigns. A positive gap means mature funds score higher (desirable); a negative gap means young funds outscore mature ones (undesirable):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640"/>
        <w:gridCol w:w="1640"/>
        <w:gridCol w:w="1640"/>
      </w:tblGrid>
      <w:tr w:rsidR="00247A75" w14:paraId="616FF1BA" w14:textId="77777777">
        <w:tc>
          <w:tcPr>
            <w:tcW w:w="280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3ABC9023" w14:textId="77777777" w:rsidR="00247A75" w:rsidRDefault="00000000">
            <w:pPr>
              <w:spacing w:before="60" w:after="60"/>
              <w:jc w:val="center"/>
            </w:pPr>
            <w:r>
              <w:rPr>
                <w:b/>
                <w:bCs/>
                <w:color w:val="FFFFFF"/>
                <w:sz w:val="18"/>
                <w:szCs w:val="18"/>
              </w:rPr>
              <w:lastRenderedPageBreak/>
              <w:t>Approach</w:t>
            </w:r>
          </w:p>
        </w:tc>
        <w:tc>
          <w:tcPr>
            <w:tcW w:w="164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6EF25525" w14:textId="77777777" w:rsidR="00247A75" w:rsidRDefault="00000000">
            <w:pPr>
              <w:spacing w:before="60" w:after="60"/>
              <w:jc w:val="center"/>
            </w:pPr>
            <w:r>
              <w:rPr>
                <w:b/>
                <w:bCs/>
                <w:color w:val="FFFFFF"/>
                <w:sz w:val="18"/>
                <w:szCs w:val="18"/>
              </w:rPr>
              <w:t>Young avg</w:t>
            </w:r>
          </w:p>
        </w:tc>
        <w:tc>
          <w:tcPr>
            <w:tcW w:w="164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61B962C0" w14:textId="77777777" w:rsidR="00247A75" w:rsidRDefault="00000000">
            <w:pPr>
              <w:spacing w:before="60" w:after="60"/>
              <w:jc w:val="center"/>
            </w:pPr>
            <w:r>
              <w:rPr>
                <w:b/>
                <w:bCs/>
                <w:color w:val="FFFFFF"/>
                <w:sz w:val="18"/>
                <w:szCs w:val="18"/>
              </w:rPr>
              <w:t>Mature avg</w:t>
            </w:r>
          </w:p>
        </w:tc>
        <w:tc>
          <w:tcPr>
            <w:tcW w:w="164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200E58C3" w14:textId="77777777" w:rsidR="00247A75" w:rsidRDefault="00000000">
            <w:pPr>
              <w:spacing w:before="60" w:after="60"/>
              <w:jc w:val="center"/>
            </w:pPr>
            <w:r>
              <w:rPr>
                <w:b/>
                <w:bCs/>
                <w:color w:val="FFFFFF"/>
                <w:sz w:val="18"/>
                <w:szCs w:val="18"/>
              </w:rPr>
              <w:t>Gap</w:t>
            </w:r>
          </w:p>
        </w:tc>
      </w:tr>
      <w:tr w:rsidR="00247A75" w14:paraId="1D2F7832" w14:textId="77777777">
        <w:tc>
          <w:tcPr>
            <w:tcW w:w="2800" w:type="dxa"/>
            <w:tcBorders>
              <w:top w:val="single" w:sz="1" w:space="0" w:color="CCCCCC"/>
              <w:left w:val="single" w:sz="1" w:space="0" w:color="CCCCCC"/>
              <w:bottom w:val="single" w:sz="1" w:space="0" w:color="CCCCCC"/>
              <w:right w:val="single" w:sz="1" w:space="0" w:color="CCCCCC"/>
            </w:tcBorders>
            <w:vAlign w:val="center"/>
          </w:tcPr>
          <w:p w14:paraId="1E9951F3" w14:textId="77777777" w:rsidR="00247A75" w:rsidRDefault="00000000">
            <w:pPr>
              <w:spacing w:before="40" w:after="40"/>
              <w:jc w:val="center"/>
            </w:pPr>
            <w:r>
              <w:rPr>
                <w:b/>
                <w:bCs/>
                <w:sz w:val="18"/>
                <w:szCs w:val="18"/>
              </w:rPr>
              <w:t>A: Original</w:t>
            </w:r>
          </w:p>
        </w:tc>
        <w:tc>
          <w:tcPr>
            <w:tcW w:w="1640" w:type="dxa"/>
            <w:tcBorders>
              <w:top w:val="single" w:sz="1" w:space="0" w:color="CCCCCC"/>
              <w:left w:val="single" w:sz="1" w:space="0" w:color="CCCCCC"/>
              <w:bottom w:val="single" w:sz="1" w:space="0" w:color="CCCCCC"/>
              <w:right w:val="single" w:sz="1" w:space="0" w:color="CCCCCC"/>
            </w:tcBorders>
            <w:vAlign w:val="center"/>
          </w:tcPr>
          <w:p w14:paraId="7AE9A7E6" w14:textId="77777777" w:rsidR="00247A75" w:rsidRDefault="00000000">
            <w:pPr>
              <w:spacing w:before="40" w:after="40"/>
              <w:jc w:val="center"/>
            </w:pPr>
            <w:r>
              <w:rPr>
                <w:sz w:val="18"/>
                <w:szCs w:val="18"/>
              </w:rPr>
              <w:t>0.39</w:t>
            </w:r>
          </w:p>
        </w:tc>
        <w:tc>
          <w:tcPr>
            <w:tcW w:w="1640" w:type="dxa"/>
            <w:tcBorders>
              <w:top w:val="single" w:sz="1" w:space="0" w:color="CCCCCC"/>
              <w:left w:val="single" w:sz="1" w:space="0" w:color="CCCCCC"/>
              <w:bottom w:val="single" w:sz="1" w:space="0" w:color="CCCCCC"/>
              <w:right w:val="single" w:sz="1" w:space="0" w:color="CCCCCC"/>
            </w:tcBorders>
            <w:vAlign w:val="center"/>
          </w:tcPr>
          <w:p w14:paraId="70DB0D7A" w14:textId="77777777" w:rsidR="00247A75" w:rsidRDefault="00000000">
            <w:pPr>
              <w:spacing w:before="40" w:after="40"/>
              <w:jc w:val="center"/>
            </w:pPr>
            <w:r>
              <w:rPr>
                <w:sz w:val="18"/>
                <w:szCs w:val="18"/>
              </w:rPr>
              <w:t>0.78</w:t>
            </w:r>
          </w:p>
        </w:tc>
        <w:tc>
          <w:tcPr>
            <w:tcW w:w="1640" w:type="dxa"/>
            <w:tcBorders>
              <w:top w:val="single" w:sz="1" w:space="0" w:color="CCCCCC"/>
              <w:left w:val="single" w:sz="1" w:space="0" w:color="CCCCCC"/>
              <w:bottom w:val="single" w:sz="1" w:space="0" w:color="CCCCCC"/>
              <w:right w:val="single" w:sz="1" w:space="0" w:color="CCCCCC"/>
            </w:tcBorders>
            <w:vAlign w:val="center"/>
          </w:tcPr>
          <w:p w14:paraId="1EA0E2F4" w14:textId="77777777" w:rsidR="00247A75" w:rsidRDefault="00000000">
            <w:pPr>
              <w:spacing w:before="40" w:after="40"/>
              <w:jc w:val="center"/>
            </w:pPr>
            <w:r>
              <w:rPr>
                <w:sz w:val="18"/>
                <w:szCs w:val="18"/>
              </w:rPr>
              <w:t>+0.39</w:t>
            </w:r>
          </w:p>
        </w:tc>
      </w:tr>
      <w:tr w:rsidR="00247A75" w14:paraId="2CBB1239"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4122C991" w14:textId="77777777" w:rsidR="00247A75" w:rsidRDefault="00000000">
            <w:pPr>
              <w:spacing w:before="40" w:after="40"/>
              <w:jc w:val="center"/>
            </w:pPr>
            <w:r>
              <w:rPr>
                <w:b/>
                <w:bCs/>
                <w:sz w:val="18"/>
                <w:szCs w:val="18"/>
              </w:rPr>
              <w:t>B: Ratio</w:t>
            </w:r>
          </w:p>
        </w:tc>
        <w:tc>
          <w:tcPr>
            <w:tcW w:w="164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6E9B8A60" w14:textId="77777777" w:rsidR="00247A75" w:rsidRDefault="00000000">
            <w:pPr>
              <w:spacing w:before="40" w:after="40"/>
              <w:jc w:val="center"/>
            </w:pPr>
            <w:r>
              <w:rPr>
                <w:sz w:val="18"/>
                <w:szCs w:val="18"/>
              </w:rPr>
              <w:t>0.68</w:t>
            </w:r>
          </w:p>
        </w:tc>
        <w:tc>
          <w:tcPr>
            <w:tcW w:w="164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601888BF" w14:textId="77777777" w:rsidR="00247A75" w:rsidRDefault="00000000">
            <w:pPr>
              <w:spacing w:before="40" w:after="40"/>
              <w:jc w:val="center"/>
            </w:pPr>
            <w:r>
              <w:rPr>
                <w:color w:val="D32F2F"/>
                <w:sz w:val="18"/>
                <w:szCs w:val="18"/>
              </w:rPr>
              <w:t>0.61</w:t>
            </w:r>
          </w:p>
        </w:tc>
        <w:tc>
          <w:tcPr>
            <w:tcW w:w="164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2842FB9A" w14:textId="77777777" w:rsidR="00247A75" w:rsidRDefault="00000000">
            <w:pPr>
              <w:spacing w:before="40" w:after="40"/>
              <w:jc w:val="center"/>
            </w:pPr>
            <w:r>
              <w:rPr>
                <w:color w:val="D32F2F"/>
                <w:sz w:val="18"/>
                <w:szCs w:val="18"/>
              </w:rPr>
              <w:t>−0.07</w:t>
            </w:r>
          </w:p>
        </w:tc>
      </w:tr>
      <w:tr w:rsidR="00247A75" w14:paraId="69045D47" w14:textId="77777777">
        <w:tc>
          <w:tcPr>
            <w:tcW w:w="2800" w:type="dxa"/>
            <w:tcBorders>
              <w:top w:val="single" w:sz="1" w:space="0" w:color="CCCCCC"/>
              <w:left w:val="single" w:sz="1" w:space="0" w:color="CCCCCC"/>
              <w:bottom w:val="single" w:sz="1" w:space="0" w:color="CCCCCC"/>
              <w:right w:val="single" w:sz="1" w:space="0" w:color="CCCCCC"/>
            </w:tcBorders>
            <w:vAlign w:val="center"/>
          </w:tcPr>
          <w:p w14:paraId="1FB6CEEE" w14:textId="77777777" w:rsidR="00247A75" w:rsidRDefault="00000000">
            <w:pPr>
              <w:spacing w:before="40" w:after="40"/>
              <w:jc w:val="center"/>
            </w:pPr>
            <w:r>
              <w:rPr>
                <w:b/>
                <w:bCs/>
                <w:sz w:val="18"/>
                <w:szCs w:val="18"/>
              </w:rPr>
              <w:t>C: Age-Weighted</w:t>
            </w:r>
          </w:p>
        </w:tc>
        <w:tc>
          <w:tcPr>
            <w:tcW w:w="1640" w:type="dxa"/>
            <w:tcBorders>
              <w:top w:val="single" w:sz="1" w:space="0" w:color="CCCCCC"/>
              <w:left w:val="single" w:sz="1" w:space="0" w:color="CCCCCC"/>
              <w:bottom w:val="single" w:sz="1" w:space="0" w:color="CCCCCC"/>
              <w:right w:val="single" w:sz="1" w:space="0" w:color="CCCCCC"/>
            </w:tcBorders>
            <w:vAlign w:val="center"/>
          </w:tcPr>
          <w:p w14:paraId="432D391B" w14:textId="77777777" w:rsidR="00247A75" w:rsidRDefault="00000000">
            <w:pPr>
              <w:spacing w:before="40" w:after="40"/>
              <w:jc w:val="center"/>
            </w:pPr>
            <w:r>
              <w:rPr>
                <w:sz w:val="18"/>
                <w:szCs w:val="18"/>
              </w:rPr>
              <w:t>0.45</w:t>
            </w:r>
          </w:p>
        </w:tc>
        <w:tc>
          <w:tcPr>
            <w:tcW w:w="1640" w:type="dxa"/>
            <w:tcBorders>
              <w:top w:val="single" w:sz="1" w:space="0" w:color="CCCCCC"/>
              <w:left w:val="single" w:sz="1" w:space="0" w:color="CCCCCC"/>
              <w:bottom w:val="single" w:sz="1" w:space="0" w:color="CCCCCC"/>
              <w:right w:val="single" w:sz="1" w:space="0" w:color="CCCCCC"/>
            </w:tcBorders>
            <w:vAlign w:val="center"/>
          </w:tcPr>
          <w:p w14:paraId="38F4A6F0" w14:textId="77777777" w:rsidR="00247A75" w:rsidRDefault="00000000">
            <w:pPr>
              <w:spacing w:before="40" w:after="40"/>
              <w:jc w:val="center"/>
            </w:pPr>
            <w:r>
              <w:rPr>
                <w:sz w:val="18"/>
                <w:szCs w:val="18"/>
              </w:rPr>
              <w:t>0.78</w:t>
            </w:r>
          </w:p>
        </w:tc>
        <w:tc>
          <w:tcPr>
            <w:tcW w:w="1640" w:type="dxa"/>
            <w:tcBorders>
              <w:top w:val="single" w:sz="1" w:space="0" w:color="CCCCCC"/>
              <w:left w:val="single" w:sz="1" w:space="0" w:color="CCCCCC"/>
              <w:bottom w:val="single" w:sz="1" w:space="0" w:color="CCCCCC"/>
              <w:right w:val="single" w:sz="1" w:space="0" w:color="CCCCCC"/>
            </w:tcBorders>
            <w:vAlign w:val="center"/>
          </w:tcPr>
          <w:p w14:paraId="1CB50EC5" w14:textId="77777777" w:rsidR="00247A75" w:rsidRDefault="00000000">
            <w:pPr>
              <w:spacing w:before="40" w:after="40"/>
              <w:jc w:val="center"/>
            </w:pPr>
            <w:r>
              <w:rPr>
                <w:sz w:val="18"/>
                <w:szCs w:val="18"/>
              </w:rPr>
              <w:t>+0.33</w:t>
            </w:r>
          </w:p>
        </w:tc>
      </w:tr>
      <w:tr w:rsidR="00247A75" w14:paraId="00C4E9E1" w14:textId="77777777">
        <w:tc>
          <w:tcPr>
            <w:tcW w:w="2800" w:type="dxa"/>
            <w:tcBorders>
              <w:top w:val="single" w:sz="1" w:space="0" w:color="CCCCCC"/>
              <w:left w:val="single" w:sz="1" w:space="0" w:color="CCCCCC"/>
              <w:bottom w:val="single" w:sz="1" w:space="0" w:color="CCCCCC"/>
              <w:right w:val="single" w:sz="1" w:space="0" w:color="CCCCCC"/>
            </w:tcBorders>
            <w:shd w:val="clear" w:color="auto" w:fill="E8F5F2"/>
            <w:vAlign w:val="center"/>
          </w:tcPr>
          <w:p w14:paraId="677B5218" w14:textId="77777777" w:rsidR="00247A75" w:rsidRDefault="00000000">
            <w:pPr>
              <w:spacing w:before="40" w:after="40"/>
              <w:jc w:val="center"/>
            </w:pPr>
            <w:r>
              <w:rPr>
                <w:b/>
                <w:bCs/>
                <w:sz w:val="18"/>
                <w:szCs w:val="18"/>
              </w:rPr>
              <w:t>D: Raise min 3yr</w:t>
            </w:r>
          </w:p>
        </w:tc>
        <w:tc>
          <w:tcPr>
            <w:tcW w:w="1640" w:type="dxa"/>
            <w:tcBorders>
              <w:top w:val="single" w:sz="1" w:space="0" w:color="CCCCCC"/>
              <w:left w:val="single" w:sz="1" w:space="0" w:color="CCCCCC"/>
              <w:bottom w:val="single" w:sz="1" w:space="0" w:color="CCCCCC"/>
              <w:right w:val="single" w:sz="1" w:space="0" w:color="CCCCCC"/>
            </w:tcBorders>
            <w:shd w:val="clear" w:color="auto" w:fill="E8F5F2"/>
            <w:vAlign w:val="center"/>
          </w:tcPr>
          <w:p w14:paraId="010952BE" w14:textId="77777777" w:rsidR="00247A75" w:rsidRDefault="00000000">
            <w:pPr>
              <w:spacing w:before="40" w:after="40"/>
              <w:jc w:val="center"/>
            </w:pPr>
            <w:r>
              <w:rPr>
                <w:sz w:val="18"/>
                <w:szCs w:val="18"/>
              </w:rPr>
              <w:t>0.45</w:t>
            </w:r>
          </w:p>
        </w:tc>
        <w:tc>
          <w:tcPr>
            <w:tcW w:w="1640" w:type="dxa"/>
            <w:tcBorders>
              <w:top w:val="single" w:sz="1" w:space="0" w:color="CCCCCC"/>
              <w:left w:val="single" w:sz="1" w:space="0" w:color="CCCCCC"/>
              <w:bottom w:val="single" w:sz="1" w:space="0" w:color="CCCCCC"/>
              <w:right w:val="single" w:sz="1" w:space="0" w:color="CCCCCC"/>
            </w:tcBorders>
            <w:shd w:val="clear" w:color="auto" w:fill="E8F5F2"/>
            <w:vAlign w:val="center"/>
          </w:tcPr>
          <w:p w14:paraId="5DB7E557" w14:textId="77777777" w:rsidR="00247A75" w:rsidRDefault="00000000">
            <w:pPr>
              <w:spacing w:before="40" w:after="40"/>
              <w:jc w:val="center"/>
            </w:pPr>
            <w:r>
              <w:rPr>
                <w:sz w:val="18"/>
                <w:szCs w:val="18"/>
              </w:rPr>
              <w:t>0.78</w:t>
            </w:r>
          </w:p>
        </w:tc>
        <w:tc>
          <w:tcPr>
            <w:tcW w:w="1640" w:type="dxa"/>
            <w:tcBorders>
              <w:top w:val="single" w:sz="1" w:space="0" w:color="CCCCCC"/>
              <w:left w:val="single" w:sz="1" w:space="0" w:color="CCCCCC"/>
              <w:bottom w:val="single" w:sz="1" w:space="0" w:color="CCCCCC"/>
              <w:right w:val="single" w:sz="1" w:space="0" w:color="CCCCCC"/>
            </w:tcBorders>
            <w:shd w:val="clear" w:color="auto" w:fill="E8F5F2"/>
            <w:vAlign w:val="center"/>
          </w:tcPr>
          <w:p w14:paraId="72E61BC9" w14:textId="77777777" w:rsidR="00247A75" w:rsidRDefault="00000000">
            <w:pPr>
              <w:spacing w:before="40" w:after="40"/>
              <w:jc w:val="center"/>
            </w:pPr>
            <w:r>
              <w:rPr>
                <w:sz w:val="18"/>
                <w:szCs w:val="18"/>
              </w:rPr>
              <w:t>+0.33</w:t>
            </w:r>
          </w:p>
        </w:tc>
      </w:tr>
    </w:tbl>
    <w:p w14:paraId="1D4D19F5" w14:textId="77777777" w:rsidR="00247A75" w:rsidRDefault="00000000">
      <w:pPr>
        <w:spacing w:before="160" w:after="120"/>
      </w:pPr>
      <w:r>
        <w:t>Approach B inverts the gap — young funds average higher than mature funds. This happens because a 3-year fund with a 3-year streak has a 100% ratio, while a 64-year fund with a 16-year streak has only a 25% ratio. The ratio punishes funds for being old, which is the opposite of what we want.</w:t>
      </w:r>
    </w:p>
    <w:p w14:paraId="31E98ED8" w14:textId="77777777" w:rsidR="00247A75" w:rsidRDefault="00000000">
      <w:pPr>
        <w:spacing w:after="120"/>
      </w:pPr>
      <w:r>
        <w:t>Approaches C and D produce identical results for every notable ticker. The dampening multiplier in C gets rounded away when snapping to rank tiers. Since D achieves the same outcome with simpler logic, there is no benefit to the added complexity.</w:t>
      </w:r>
    </w:p>
    <w:p w14:paraId="6819B458" w14:textId="77777777" w:rsidR="00247A75" w:rsidRDefault="00000000">
      <w:pPr>
        <w:pStyle w:val="Heading2"/>
      </w:pPr>
      <w:r>
        <w:t>Decision</w:t>
      </w:r>
    </w:p>
    <w:p w14:paraId="3D287B2F" w14:textId="77777777" w:rsidR="00247A75" w:rsidRDefault="00000000">
      <w:pPr>
        <w:spacing w:after="80"/>
      </w:pPr>
      <w:r>
        <w:rPr>
          <w:b/>
          <w:bCs/>
          <w:color w:val="096B5A"/>
        </w:rPr>
        <w:t>Approach D (Raise minimum to 3 years) selected.</w:t>
      </w:r>
    </w:p>
    <w:p w14:paraId="550A88BF" w14:textId="77777777" w:rsidR="00247A75" w:rsidRDefault="00000000">
      <w:pPr>
        <w:pStyle w:val="ListParagraph"/>
        <w:numPr>
          <w:ilvl w:val="0"/>
          <w:numId w:val="3"/>
        </w:numPr>
      </w:pPr>
      <w:r>
        <w:t>Funds with &lt;3 years of history get neutral 0.5 (not scored — unproven)</w:t>
      </w:r>
    </w:p>
    <w:p w14:paraId="102CFCF4" w14:textId="77777777" w:rsidR="00247A75" w:rsidRDefault="00000000">
      <w:pPr>
        <w:pStyle w:val="ListParagraph"/>
        <w:numPr>
          <w:ilvl w:val="0"/>
          <w:numId w:val="3"/>
        </w:numPr>
      </w:pPr>
      <w:r>
        <w:t>Funds with 3+ years scored purely on no-cut streak length</w:t>
      </w:r>
    </w:p>
    <w:p w14:paraId="28F0CFE5" w14:textId="77777777" w:rsidR="00247A75" w:rsidRDefault="00000000">
      <w:pPr>
        <w:pStyle w:val="ListParagraph"/>
        <w:numPr>
          <w:ilvl w:val="0"/>
          <w:numId w:val="3"/>
        </w:numPr>
      </w:pPr>
      <w:r>
        <w:t>Blue chips retain their deserved high scores</w:t>
      </w:r>
    </w:p>
    <w:p w14:paraId="396440F5" w14:textId="77777777" w:rsidR="00247A75" w:rsidRDefault="00000000">
      <w:pPr>
        <w:pStyle w:val="ListParagraph"/>
        <w:numPr>
          <w:ilvl w:val="0"/>
          <w:numId w:val="3"/>
        </w:numPr>
      </w:pPr>
      <w:r>
        <w:t>No complex ratio math or dampening multipliers</w:t>
      </w:r>
    </w:p>
    <w:p w14:paraId="561CDCC1" w14:textId="77777777" w:rsidR="00247A75" w:rsidRDefault="00000000">
      <w:r>
        <w:br w:type="page"/>
      </w:r>
    </w:p>
    <w:p w14:paraId="2C4DCB94" w14:textId="77777777" w:rsidR="00247A75" w:rsidRDefault="00000000">
      <w:pPr>
        <w:pStyle w:val="Heading1"/>
      </w:pPr>
      <w:r>
        <w:lastRenderedPageBreak/>
        <w:t>Final Parameters</w:t>
      </w:r>
    </w:p>
    <w:p w14:paraId="3F87C315" w14:textId="77777777" w:rsidR="00247A75" w:rsidRDefault="00000000">
      <w:pPr>
        <w:spacing w:after="200"/>
      </w:pPr>
      <w:r>
        <w:t>Based on the two analyses above, the Dividend Track Record factor will use the following configuration: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25"/>
        <w:gridCol w:w="1513"/>
        <w:gridCol w:w="5186"/>
      </w:tblGrid>
      <w:tr w:rsidR="00247A75" w14:paraId="106E45FA" w14:textId="77777777">
        <w:tc>
          <w:tcPr>
            <w:tcW w:w="240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5653E00F" w14:textId="77777777" w:rsidR="00247A75" w:rsidRDefault="00000000">
            <w:pPr>
              <w:spacing w:before="60" w:after="60"/>
              <w:jc w:val="center"/>
            </w:pPr>
            <w:r>
              <w:rPr>
                <w:b/>
                <w:bCs/>
                <w:color w:val="FFFFFF"/>
                <w:sz w:val="18"/>
                <w:szCs w:val="18"/>
              </w:rPr>
              <w:t>Parameter</w:t>
            </w:r>
          </w:p>
        </w:tc>
        <w:tc>
          <w:tcPr>
            <w:tcW w:w="156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6AC77AB6" w14:textId="77777777" w:rsidR="00247A75" w:rsidRDefault="00000000">
            <w:pPr>
              <w:spacing w:before="60" w:after="60"/>
              <w:jc w:val="center"/>
            </w:pPr>
            <w:r>
              <w:rPr>
                <w:b/>
                <w:bCs/>
                <w:color w:val="FFFFFF"/>
                <w:sz w:val="18"/>
                <w:szCs w:val="18"/>
              </w:rPr>
              <w:t>Value</w:t>
            </w:r>
          </w:p>
        </w:tc>
        <w:tc>
          <w:tcPr>
            <w:tcW w:w="540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01BB7B1A" w14:textId="77777777" w:rsidR="00247A75" w:rsidRDefault="00000000">
            <w:pPr>
              <w:spacing w:before="60" w:after="60"/>
              <w:jc w:val="center"/>
            </w:pPr>
            <w:r>
              <w:rPr>
                <w:b/>
                <w:bCs/>
                <w:color w:val="FFFFFF"/>
                <w:sz w:val="18"/>
                <w:szCs w:val="18"/>
              </w:rPr>
              <w:t>Rationale</w:t>
            </w:r>
          </w:p>
        </w:tc>
      </w:tr>
      <w:tr w:rsidR="00247A75" w14:paraId="0EEDD6F4" w14:textId="77777777">
        <w:tc>
          <w:tcPr>
            <w:tcW w:w="2400" w:type="dxa"/>
            <w:tcBorders>
              <w:top w:val="single" w:sz="1" w:space="0" w:color="CCCCCC"/>
              <w:left w:val="single" w:sz="1" w:space="0" w:color="CCCCCC"/>
              <w:bottom w:val="single" w:sz="1" w:space="0" w:color="CCCCCC"/>
              <w:right w:val="single" w:sz="1" w:space="0" w:color="CCCCCC"/>
            </w:tcBorders>
            <w:vAlign w:val="center"/>
          </w:tcPr>
          <w:p w14:paraId="717F3DC5" w14:textId="77777777" w:rsidR="00247A75" w:rsidRDefault="00000000">
            <w:pPr>
              <w:spacing w:before="40" w:after="40"/>
            </w:pPr>
            <w:r>
              <w:rPr>
                <w:b/>
                <w:bCs/>
                <w:sz w:val="18"/>
                <w:szCs w:val="18"/>
              </w:rPr>
              <w:t>Cut tolerance</w:t>
            </w:r>
          </w:p>
        </w:tc>
        <w:tc>
          <w:tcPr>
            <w:tcW w:w="1560" w:type="dxa"/>
            <w:tcBorders>
              <w:top w:val="single" w:sz="1" w:space="0" w:color="CCCCCC"/>
              <w:left w:val="single" w:sz="1" w:space="0" w:color="CCCCCC"/>
              <w:bottom w:val="single" w:sz="1" w:space="0" w:color="CCCCCC"/>
              <w:right w:val="single" w:sz="1" w:space="0" w:color="CCCCCC"/>
            </w:tcBorders>
            <w:vAlign w:val="center"/>
          </w:tcPr>
          <w:p w14:paraId="39719704" w14:textId="77777777" w:rsidR="00247A75" w:rsidRDefault="00000000">
            <w:pPr>
              <w:spacing w:before="40" w:after="40"/>
              <w:jc w:val="center"/>
            </w:pPr>
            <w:r>
              <w:rPr>
                <w:b/>
                <w:bCs/>
                <w:color w:val="096B5A"/>
                <w:sz w:val="18"/>
                <w:szCs w:val="18"/>
              </w:rPr>
              <w:t>10%</w:t>
            </w:r>
          </w:p>
        </w:tc>
        <w:tc>
          <w:tcPr>
            <w:tcW w:w="5400" w:type="dxa"/>
            <w:tcBorders>
              <w:top w:val="single" w:sz="1" w:space="0" w:color="CCCCCC"/>
              <w:left w:val="single" w:sz="1" w:space="0" w:color="CCCCCC"/>
              <w:bottom w:val="single" w:sz="1" w:space="0" w:color="CCCCCC"/>
              <w:right w:val="single" w:sz="1" w:space="0" w:color="CCCCCC"/>
            </w:tcBorders>
            <w:vAlign w:val="center"/>
          </w:tcPr>
          <w:p w14:paraId="55BB5662" w14:textId="77777777" w:rsidR="00247A75" w:rsidRDefault="00000000">
            <w:pPr>
              <w:spacing w:before="40" w:after="40"/>
            </w:pPr>
            <w:r>
              <w:rPr>
                <w:sz w:val="18"/>
                <w:szCs w:val="18"/>
              </w:rPr>
              <w:t>YoY dividend decreases up to 10% are ignored as noise; &gt;10% breaks the streak (Analysis 1)</w:t>
            </w:r>
          </w:p>
        </w:tc>
      </w:tr>
      <w:tr w:rsidR="00247A75" w14:paraId="1660BE56" w14:textId="77777777">
        <w:tc>
          <w:tcPr>
            <w:tcW w:w="24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555C10F4" w14:textId="77777777" w:rsidR="00247A75" w:rsidRDefault="00000000">
            <w:pPr>
              <w:spacing w:before="40" w:after="40"/>
            </w:pPr>
            <w:r>
              <w:rPr>
                <w:b/>
                <w:bCs/>
                <w:sz w:val="18"/>
                <w:szCs w:val="18"/>
              </w:rPr>
              <w:t>Min. history</w:t>
            </w:r>
          </w:p>
        </w:tc>
        <w:tc>
          <w:tcPr>
            <w:tcW w:w="156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480330F7" w14:textId="77777777" w:rsidR="00247A75" w:rsidRDefault="00000000">
            <w:pPr>
              <w:spacing w:before="40" w:after="40"/>
              <w:jc w:val="center"/>
            </w:pPr>
            <w:r>
              <w:rPr>
                <w:b/>
                <w:bCs/>
                <w:color w:val="096B5A"/>
                <w:sz w:val="18"/>
                <w:szCs w:val="18"/>
              </w:rPr>
              <w:t>3 years</w:t>
            </w:r>
          </w:p>
        </w:tc>
        <w:tc>
          <w:tcPr>
            <w:tcW w:w="54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3D7A42C8" w14:textId="77777777" w:rsidR="00247A75" w:rsidRDefault="00000000">
            <w:pPr>
              <w:spacing w:before="40" w:after="40"/>
            </w:pPr>
            <w:r>
              <w:rPr>
                <w:sz w:val="18"/>
                <w:szCs w:val="18"/>
              </w:rPr>
              <w:t>Funds with &lt;3 years of dividend data get a neutral 0.5 score — too new to judge (Analysis 2)</w:t>
            </w:r>
          </w:p>
        </w:tc>
      </w:tr>
      <w:tr w:rsidR="00247A75" w14:paraId="2A435AA5" w14:textId="77777777">
        <w:tc>
          <w:tcPr>
            <w:tcW w:w="2400" w:type="dxa"/>
            <w:tcBorders>
              <w:top w:val="single" w:sz="1" w:space="0" w:color="CCCCCC"/>
              <w:left w:val="single" w:sz="1" w:space="0" w:color="CCCCCC"/>
              <w:bottom w:val="single" w:sz="1" w:space="0" w:color="CCCCCC"/>
              <w:right w:val="single" w:sz="1" w:space="0" w:color="CCCCCC"/>
            </w:tcBorders>
            <w:vAlign w:val="center"/>
          </w:tcPr>
          <w:p w14:paraId="1872AE41" w14:textId="77777777" w:rsidR="00247A75" w:rsidRDefault="00000000">
            <w:pPr>
              <w:spacing w:before="40" w:after="40"/>
            </w:pPr>
            <w:r>
              <w:rPr>
                <w:b/>
                <w:bCs/>
                <w:sz w:val="18"/>
                <w:szCs w:val="18"/>
              </w:rPr>
              <w:t>Bond ETF exclusion</w:t>
            </w:r>
          </w:p>
        </w:tc>
        <w:tc>
          <w:tcPr>
            <w:tcW w:w="1560" w:type="dxa"/>
            <w:tcBorders>
              <w:top w:val="single" w:sz="1" w:space="0" w:color="CCCCCC"/>
              <w:left w:val="single" w:sz="1" w:space="0" w:color="CCCCCC"/>
              <w:bottom w:val="single" w:sz="1" w:space="0" w:color="CCCCCC"/>
              <w:right w:val="single" w:sz="1" w:space="0" w:color="CCCCCC"/>
            </w:tcBorders>
            <w:vAlign w:val="center"/>
          </w:tcPr>
          <w:p w14:paraId="0293B242" w14:textId="77777777" w:rsidR="00247A75" w:rsidRDefault="00000000">
            <w:pPr>
              <w:spacing w:before="40" w:after="40"/>
              <w:jc w:val="center"/>
            </w:pPr>
            <w:r>
              <w:rPr>
                <w:b/>
                <w:bCs/>
                <w:color w:val="096B5A"/>
                <w:sz w:val="18"/>
                <w:szCs w:val="18"/>
              </w:rPr>
              <w:t>9 tickers</w:t>
            </w:r>
          </w:p>
        </w:tc>
        <w:tc>
          <w:tcPr>
            <w:tcW w:w="5400" w:type="dxa"/>
            <w:tcBorders>
              <w:top w:val="single" w:sz="1" w:space="0" w:color="CCCCCC"/>
              <w:left w:val="single" w:sz="1" w:space="0" w:color="CCCCCC"/>
              <w:bottom w:val="single" w:sz="1" w:space="0" w:color="CCCCCC"/>
              <w:right w:val="single" w:sz="1" w:space="0" w:color="CCCCCC"/>
            </w:tcBorders>
            <w:vAlign w:val="center"/>
          </w:tcPr>
          <w:p w14:paraId="772A3BC1" w14:textId="77777777" w:rsidR="00247A75" w:rsidRDefault="00000000">
            <w:pPr>
              <w:spacing w:before="40" w:after="40"/>
            </w:pPr>
            <w:r>
              <w:rPr>
                <w:sz w:val="18"/>
                <w:szCs w:val="18"/>
              </w:rPr>
              <w:t>SGOV, JAAA, PAAA, ICSH, AGG, BND, HYG, JNK, USHY — payouts driven by interest rates, not management decisions</w:t>
            </w:r>
          </w:p>
        </w:tc>
      </w:tr>
    </w:tbl>
    <w:p w14:paraId="74F93C56" w14:textId="77777777" w:rsidR="00247A75" w:rsidRDefault="00000000">
      <w:pPr>
        <w:pStyle w:val="Heading2"/>
        <w:spacing w:before="300"/>
      </w:pPr>
      <w:r>
        <w:t>Scoring Thresholds</w:t>
      </w:r>
    </w:p>
    <w:p w14:paraId="188CABA0" w14:textId="77777777" w:rsidR="00247A75" w:rsidRDefault="00000000">
      <w:pPr>
        <w:spacing w:after="120"/>
      </w:pPr>
      <w:r>
        <w:t>The no-cut streak (consecutive years without a dividend decrease &gt;10%) is converted to a rank score between 0.0 and 1.0 using these thresholds: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8"/>
        <w:gridCol w:w="1167"/>
        <w:gridCol w:w="5349"/>
      </w:tblGrid>
      <w:tr w:rsidR="00247A75" w14:paraId="4AFB80F3" w14:textId="77777777">
        <w:tc>
          <w:tcPr>
            <w:tcW w:w="260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67A0E0AE" w14:textId="77777777" w:rsidR="00247A75" w:rsidRDefault="00000000">
            <w:pPr>
              <w:spacing w:before="60" w:after="60"/>
              <w:jc w:val="center"/>
            </w:pPr>
            <w:r>
              <w:rPr>
                <w:b/>
                <w:bCs/>
                <w:color w:val="FFFFFF"/>
                <w:sz w:val="18"/>
                <w:szCs w:val="18"/>
              </w:rPr>
              <w:t>No-Cut Streak</w:t>
            </w:r>
          </w:p>
        </w:tc>
        <w:tc>
          <w:tcPr>
            <w:tcW w:w="120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21D85EF6" w14:textId="77777777" w:rsidR="00247A75" w:rsidRDefault="00000000">
            <w:pPr>
              <w:spacing w:before="60" w:after="60"/>
              <w:jc w:val="center"/>
            </w:pPr>
            <w:r>
              <w:rPr>
                <w:b/>
                <w:bCs/>
                <w:color w:val="FFFFFF"/>
                <w:sz w:val="18"/>
                <w:szCs w:val="18"/>
              </w:rPr>
              <w:t>Rank</w:t>
            </w:r>
          </w:p>
        </w:tc>
        <w:tc>
          <w:tcPr>
            <w:tcW w:w="5560" w:type="dxa"/>
            <w:tcBorders>
              <w:top w:val="single" w:sz="1" w:space="0" w:color="CCCCCC"/>
              <w:left w:val="single" w:sz="1" w:space="0" w:color="CCCCCC"/>
              <w:bottom w:val="single" w:sz="1" w:space="0" w:color="CCCCCC"/>
              <w:right w:val="single" w:sz="1" w:space="0" w:color="CCCCCC"/>
            </w:tcBorders>
            <w:shd w:val="clear" w:color="auto" w:fill="096B5A"/>
            <w:vAlign w:val="center"/>
          </w:tcPr>
          <w:p w14:paraId="04BFBE7D" w14:textId="77777777" w:rsidR="00247A75" w:rsidRDefault="00000000">
            <w:pPr>
              <w:spacing w:before="60" w:after="60"/>
              <w:jc w:val="center"/>
            </w:pPr>
            <w:r>
              <w:rPr>
                <w:b/>
                <w:bCs/>
                <w:color w:val="FFFFFF"/>
                <w:sz w:val="18"/>
                <w:szCs w:val="18"/>
              </w:rPr>
              <w:t>Rationale</w:t>
            </w:r>
          </w:p>
        </w:tc>
      </w:tr>
      <w:tr w:rsidR="00247A75" w14:paraId="04AD836F" w14:textId="77777777">
        <w:tc>
          <w:tcPr>
            <w:tcW w:w="2600" w:type="dxa"/>
            <w:tcBorders>
              <w:top w:val="single" w:sz="1" w:space="0" w:color="CCCCCC"/>
              <w:left w:val="single" w:sz="1" w:space="0" w:color="CCCCCC"/>
              <w:bottom w:val="single" w:sz="1" w:space="0" w:color="CCCCCC"/>
              <w:right w:val="single" w:sz="1" w:space="0" w:color="CCCCCC"/>
            </w:tcBorders>
            <w:vAlign w:val="center"/>
          </w:tcPr>
          <w:p w14:paraId="2D8EC551" w14:textId="77777777" w:rsidR="00247A75" w:rsidRDefault="00000000">
            <w:pPr>
              <w:spacing w:before="40" w:after="40"/>
            </w:pPr>
            <w:r>
              <w:rPr>
                <w:sz w:val="18"/>
                <w:szCs w:val="18"/>
              </w:rPr>
              <w:t>No data / &lt;3yr / bond ETF</w:t>
            </w:r>
          </w:p>
        </w:tc>
        <w:tc>
          <w:tcPr>
            <w:tcW w:w="1200" w:type="dxa"/>
            <w:tcBorders>
              <w:top w:val="single" w:sz="1" w:space="0" w:color="CCCCCC"/>
              <w:left w:val="single" w:sz="1" w:space="0" w:color="CCCCCC"/>
              <w:bottom w:val="single" w:sz="1" w:space="0" w:color="CCCCCC"/>
              <w:right w:val="single" w:sz="1" w:space="0" w:color="CCCCCC"/>
            </w:tcBorders>
            <w:vAlign w:val="center"/>
          </w:tcPr>
          <w:p w14:paraId="59348280" w14:textId="77777777" w:rsidR="00247A75" w:rsidRDefault="00000000">
            <w:pPr>
              <w:spacing w:before="40" w:after="40"/>
              <w:jc w:val="center"/>
            </w:pPr>
            <w:r>
              <w:rPr>
                <w:b/>
                <w:bCs/>
                <w:color w:val="666666"/>
                <w:sz w:val="18"/>
                <w:szCs w:val="18"/>
              </w:rPr>
              <w:t>0.5</w:t>
            </w:r>
          </w:p>
        </w:tc>
        <w:tc>
          <w:tcPr>
            <w:tcW w:w="5560" w:type="dxa"/>
            <w:tcBorders>
              <w:top w:val="single" w:sz="1" w:space="0" w:color="CCCCCC"/>
              <w:left w:val="single" w:sz="1" w:space="0" w:color="CCCCCC"/>
              <w:bottom w:val="single" w:sz="1" w:space="0" w:color="CCCCCC"/>
              <w:right w:val="single" w:sz="1" w:space="0" w:color="CCCCCC"/>
            </w:tcBorders>
            <w:vAlign w:val="center"/>
          </w:tcPr>
          <w:p w14:paraId="4E7F4CAE" w14:textId="77777777" w:rsidR="00247A75" w:rsidRDefault="00000000">
            <w:pPr>
              <w:spacing w:before="40" w:after="40"/>
            </w:pPr>
            <w:r>
              <w:rPr>
                <w:sz w:val="18"/>
                <w:szCs w:val="18"/>
              </w:rPr>
              <w:t>Neutral — unproven or not applicable</w:t>
            </w:r>
          </w:p>
        </w:tc>
      </w:tr>
      <w:tr w:rsidR="00247A75" w14:paraId="332654A3" w14:textId="77777777">
        <w:tc>
          <w:tcPr>
            <w:tcW w:w="26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0F97F319" w14:textId="77777777" w:rsidR="00247A75" w:rsidRDefault="00000000">
            <w:pPr>
              <w:spacing w:before="40" w:after="40"/>
            </w:pPr>
            <w:r>
              <w:rPr>
                <w:sz w:val="18"/>
                <w:szCs w:val="18"/>
              </w:rPr>
              <w:t>0 years (recent cut)</w:t>
            </w:r>
          </w:p>
        </w:tc>
        <w:tc>
          <w:tcPr>
            <w:tcW w:w="12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5355BB48" w14:textId="77777777" w:rsidR="00247A75" w:rsidRDefault="00000000">
            <w:pPr>
              <w:spacing w:before="40" w:after="40"/>
              <w:jc w:val="center"/>
            </w:pPr>
            <w:r>
              <w:rPr>
                <w:b/>
                <w:bCs/>
                <w:color w:val="D32F2F"/>
                <w:sz w:val="18"/>
                <w:szCs w:val="18"/>
              </w:rPr>
              <w:t>0.0</w:t>
            </w:r>
          </w:p>
        </w:tc>
        <w:tc>
          <w:tcPr>
            <w:tcW w:w="556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1AFE91A6" w14:textId="77777777" w:rsidR="00247A75" w:rsidRDefault="00000000">
            <w:pPr>
              <w:spacing w:before="40" w:after="40"/>
            </w:pPr>
            <w:r>
              <w:rPr>
                <w:sz w:val="18"/>
                <w:szCs w:val="18"/>
              </w:rPr>
              <w:t>Red flag for income investors</w:t>
            </w:r>
          </w:p>
        </w:tc>
      </w:tr>
      <w:tr w:rsidR="00247A75" w14:paraId="601E9AC3" w14:textId="77777777">
        <w:tc>
          <w:tcPr>
            <w:tcW w:w="2600" w:type="dxa"/>
            <w:tcBorders>
              <w:top w:val="single" w:sz="1" w:space="0" w:color="CCCCCC"/>
              <w:left w:val="single" w:sz="1" w:space="0" w:color="CCCCCC"/>
              <w:bottom w:val="single" w:sz="1" w:space="0" w:color="CCCCCC"/>
              <w:right w:val="single" w:sz="1" w:space="0" w:color="CCCCCC"/>
            </w:tcBorders>
            <w:vAlign w:val="center"/>
          </w:tcPr>
          <w:p w14:paraId="6089C80E" w14:textId="77777777" w:rsidR="00247A75" w:rsidRDefault="00000000">
            <w:pPr>
              <w:spacing w:before="40" w:after="40"/>
            </w:pPr>
            <w:r>
              <w:rPr>
                <w:sz w:val="18"/>
                <w:szCs w:val="18"/>
              </w:rPr>
              <w:t>1–2 years</w:t>
            </w:r>
          </w:p>
        </w:tc>
        <w:tc>
          <w:tcPr>
            <w:tcW w:w="1200" w:type="dxa"/>
            <w:tcBorders>
              <w:top w:val="single" w:sz="1" w:space="0" w:color="CCCCCC"/>
              <w:left w:val="single" w:sz="1" w:space="0" w:color="CCCCCC"/>
              <w:bottom w:val="single" w:sz="1" w:space="0" w:color="CCCCCC"/>
              <w:right w:val="single" w:sz="1" w:space="0" w:color="CCCCCC"/>
            </w:tcBorders>
            <w:vAlign w:val="center"/>
          </w:tcPr>
          <w:p w14:paraId="20CCAEEF" w14:textId="77777777" w:rsidR="00247A75" w:rsidRDefault="00000000">
            <w:pPr>
              <w:spacing w:before="40" w:after="40"/>
              <w:jc w:val="center"/>
            </w:pPr>
            <w:r>
              <w:rPr>
                <w:b/>
                <w:bCs/>
                <w:color w:val="E65100"/>
                <w:sz w:val="18"/>
                <w:szCs w:val="18"/>
              </w:rPr>
              <w:t>0.3</w:t>
            </w:r>
          </w:p>
        </w:tc>
        <w:tc>
          <w:tcPr>
            <w:tcW w:w="5560" w:type="dxa"/>
            <w:tcBorders>
              <w:top w:val="single" w:sz="1" w:space="0" w:color="CCCCCC"/>
              <w:left w:val="single" w:sz="1" w:space="0" w:color="CCCCCC"/>
              <w:bottom w:val="single" w:sz="1" w:space="0" w:color="CCCCCC"/>
              <w:right w:val="single" w:sz="1" w:space="0" w:color="CCCCCC"/>
            </w:tcBorders>
            <w:vAlign w:val="center"/>
          </w:tcPr>
          <w:p w14:paraId="675FC53D" w14:textId="77777777" w:rsidR="00247A75" w:rsidRDefault="00000000">
            <w:pPr>
              <w:spacing w:before="40" w:after="40"/>
            </w:pPr>
            <w:r>
              <w:rPr>
                <w:sz w:val="18"/>
                <w:szCs w:val="18"/>
              </w:rPr>
              <w:t>Short track record, limited proof</w:t>
            </w:r>
          </w:p>
        </w:tc>
      </w:tr>
      <w:tr w:rsidR="00247A75" w14:paraId="557422A1" w14:textId="77777777">
        <w:tc>
          <w:tcPr>
            <w:tcW w:w="26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1124105F" w14:textId="77777777" w:rsidR="00247A75" w:rsidRDefault="00000000">
            <w:pPr>
              <w:spacing w:before="40" w:after="40"/>
            </w:pPr>
            <w:r>
              <w:rPr>
                <w:sz w:val="18"/>
                <w:szCs w:val="18"/>
              </w:rPr>
              <w:t>3–6 years</w:t>
            </w:r>
          </w:p>
        </w:tc>
        <w:tc>
          <w:tcPr>
            <w:tcW w:w="120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2F94C4B6" w14:textId="77777777" w:rsidR="00247A75" w:rsidRDefault="00000000">
            <w:pPr>
              <w:spacing w:before="40" w:after="40"/>
              <w:jc w:val="center"/>
            </w:pPr>
            <w:r>
              <w:rPr>
                <w:b/>
                <w:bCs/>
                <w:color w:val="096B5A"/>
                <w:sz w:val="18"/>
                <w:szCs w:val="18"/>
              </w:rPr>
              <w:t>0.7</w:t>
            </w:r>
          </w:p>
        </w:tc>
        <w:tc>
          <w:tcPr>
            <w:tcW w:w="5560" w:type="dxa"/>
            <w:tcBorders>
              <w:top w:val="single" w:sz="1" w:space="0" w:color="CCCCCC"/>
              <w:left w:val="single" w:sz="1" w:space="0" w:color="CCCCCC"/>
              <w:bottom w:val="single" w:sz="1" w:space="0" w:color="CCCCCC"/>
              <w:right w:val="single" w:sz="1" w:space="0" w:color="CCCCCC"/>
            </w:tcBorders>
            <w:shd w:val="clear" w:color="auto" w:fill="F5F5F5"/>
            <w:vAlign w:val="center"/>
          </w:tcPr>
          <w:p w14:paraId="794B366E" w14:textId="77777777" w:rsidR="00247A75" w:rsidRDefault="00000000">
            <w:pPr>
              <w:spacing w:before="40" w:after="40"/>
            </w:pPr>
            <w:r>
              <w:rPr>
                <w:sz w:val="18"/>
                <w:szCs w:val="18"/>
              </w:rPr>
              <w:t>Solid — survived some market volatility</w:t>
            </w:r>
          </w:p>
        </w:tc>
      </w:tr>
      <w:tr w:rsidR="00247A75" w14:paraId="51E3A1AF" w14:textId="77777777">
        <w:tc>
          <w:tcPr>
            <w:tcW w:w="2600" w:type="dxa"/>
            <w:tcBorders>
              <w:top w:val="single" w:sz="1" w:space="0" w:color="CCCCCC"/>
              <w:left w:val="single" w:sz="1" w:space="0" w:color="CCCCCC"/>
              <w:bottom w:val="single" w:sz="1" w:space="0" w:color="CCCCCC"/>
              <w:right w:val="single" w:sz="1" w:space="0" w:color="CCCCCC"/>
            </w:tcBorders>
            <w:vAlign w:val="center"/>
          </w:tcPr>
          <w:p w14:paraId="63616050" w14:textId="77777777" w:rsidR="00247A75" w:rsidRDefault="00000000">
            <w:pPr>
              <w:spacing w:before="40" w:after="40"/>
            </w:pPr>
            <w:r>
              <w:rPr>
                <w:sz w:val="18"/>
                <w:szCs w:val="18"/>
              </w:rPr>
              <w:t>7+ years</w:t>
            </w:r>
          </w:p>
        </w:tc>
        <w:tc>
          <w:tcPr>
            <w:tcW w:w="1200" w:type="dxa"/>
            <w:tcBorders>
              <w:top w:val="single" w:sz="1" w:space="0" w:color="CCCCCC"/>
              <w:left w:val="single" w:sz="1" w:space="0" w:color="CCCCCC"/>
              <w:bottom w:val="single" w:sz="1" w:space="0" w:color="CCCCCC"/>
              <w:right w:val="single" w:sz="1" w:space="0" w:color="CCCCCC"/>
            </w:tcBorders>
            <w:vAlign w:val="center"/>
          </w:tcPr>
          <w:p w14:paraId="29B8D77F" w14:textId="77777777" w:rsidR="00247A75" w:rsidRDefault="00000000">
            <w:pPr>
              <w:spacing w:before="40" w:after="40"/>
              <w:jc w:val="center"/>
            </w:pPr>
            <w:r>
              <w:rPr>
                <w:b/>
                <w:bCs/>
                <w:color w:val="2E7D32"/>
                <w:sz w:val="18"/>
                <w:szCs w:val="18"/>
              </w:rPr>
              <w:t>1.0</w:t>
            </w:r>
          </w:p>
        </w:tc>
        <w:tc>
          <w:tcPr>
            <w:tcW w:w="5560" w:type="dxa"/>
            <w:tcBorders>
              <w:top w:val="single" w:sz="1" w:space="0" w:color="CCCCCC"/>
              <w:left w:val="single" w:sz="1" w:space="0" w:color="CCCCCC"/>
              <w:bottom w:val="single" w:sz="1" w:space="0" w:color="CCCCCC"/>
              <w:right w:val="single" w:sz="1" w:space="0" w:color="CCCCCC"/>
            </w:tcBorders>
            <w:vAlign w:val="center"/>
          </w:tcPr>
          <w:p w14:paraId="332FF556" w14:textId="77777777" w:rsidR="00247A75" w:rsidRDefault="00000000">
            <w:pPr>
              <w:spacing w:before="40" w:after="40"/>
            </w:pPr>
            <w:r>
              <w:rPr>
                <w:sz w:val="18"/>
                <w:szCs w:val="18"/>
              </w:rPr>
              <w:t>Proven through full market cycles including recessions</w:t>
            </w:r>
          </w:p>
        </w:tc>
      </w:tr>
    </w:tbl>
    <w:p w14:paraId="24BE8E51" w14:textId="77777777" w:rsidR="00247A75" w:rsidRDefault="00247A75">
      <w:pPr>
        <w:spacing w:before="40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4"/>
      </w:tblGrid>
      <w:tr w:rsidR="00247A75" w14:paraId="21749D2A" w14:textId="77777777">
        <w:tc>
          <w:tcPr>
            <w:tcW w:w="9360" w:type="dxa"/>
            <w:tcBorders>
              <w:top w:val="single" w:sz="1" w:space="0" w:color="CCCCCC"/>
              <w:left w:val="single" w:sz="1" w:space="0" w:color="CCCCCC"/>
              <w:bottom w:val="single" w:sz="1" w:space="0" w:color="CCCCCC"/>
              <w:right w:val="single" w:sz="1" w:space="0" w:color="CCCCCC"/>
            </w:tcBorders>
            <w:shd w:val="clear" w:color="auto" w:fill="F5F5F5"/>
          </w:tcPr>
          <w:p w14:paraId="3D6687CD" w14:textId="77777777" w:rsidR="00247A75" w:rsidRDefault="00000000">
            <w:pPr>
              <w:spacing w:before="80" w:after="80"/>
            </w:pPr>
            <w:r>
              <w:rPr>
                <w:i/>
                <w:iCs/>
                <w:color w:val="666666"/>
                <w:sz w:val="18"/>
                <w:szCs w:val="18"/>
              </w:rPr>
              <w:t>This analysis is for internal engineering use. All scoring parameters are subject to periodic review as market conditions and the product's security universe evolve.</w:t>
            </w:r>
          </w:p>
        </w:tc>
      </w:tr>
    </w:tbl>
    <w:p w14:paraId="11BE17FF" w14:textId="77777777" w:rsidR="00116801" w:rsidRDefault="00116801"/>
    <w:sectPr w:rsidR="00116801">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70F57" w14:textId="77777777" w:rsidR="00C50C92" w:rsidRDefault="00C50C92">
      <w:r>
        <w:separator/>
      </w:r>
    </w:p>
  </w:endnote>
  <w:endnote w:type="continuationSeparator" w:id="0">
    <w:p w14:paraId="10B0BF87" w14:textId="77777777" w:rsidR="00C50C92" w:rsidRDefault="00C5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1656" w14:textId="77777777" w:rsidR="00247A75" w:rsidRDefault="00000000">
    <w:pPr>
      <w:jc w:val="center"/>
    </w:pPr>
    <w:r>
      <w:rPr>
        <w:color w:val="666666"/>
        <w:sz w:val="16"/>
        <w:szCs w:val="16"/>
      </w:rPr>
      <w:t xml:space="preserve">Page </w:t>
    </w:r>
    <w:r>
      <w:rPr>
        <w:color w:val="666666"/>
        <w:sz w:val="16"/>
        <w:szCs w:val="16"/>
      </w:rPr>
      <w:fldChar w:fldCharType="begin"/>
    </w:r>
    <w:r>
      <w:rPr>
        <w:color w:val="666666"/>
        <w:sz w:val="16"/>
        <w:szCs w:val="16"/>
      </w:rPr>
      <w:instrText>PAGE</w:instrText>
    </w:r>
    <w:r>
      <w:rPr>
        <w:color w:val="666666"/>
        <w:sz w:val="16"/>
        <w:szCs w:val="16"/>
      </w:rPr>
      <w:fldChar w:fldCharType="separate"/>
    </w:r>
    <w:r w:rsidR="00965C38">
      <w:rPr>
        <w:noProof/>
        <w:color w:val="666666"/>
        <w:sz w:val="16"/>
        <w:szCs w:val="16"/>
      </w:rPr>
      <w:t>1</w:t>
    </w:r>
    <w:r>
      <w:rPr>
        <w:color w:val="666666"/>
        <w:sz w:val="16"/>
        <w:szCs w:val="16"/>
      </w:rPr>
      <w:fldChar w:fldCharType="end"/>
    </w:r>
    <w:r>
      <w:rPr>
        <w:color w:val="666666"/>
        <w:sz w:val="16"/>
        <w:szCs w:val="16"/>
      </w:rPr>
      <w:t xml:space="preserve"> of </w:t>
    </w:r>
    <w:r>
      <w:rPr>
        <w:color w:val="666666"/>
        <w:sz w:val="16"/>
        <w:szCs w:val="16"/>
      </w:rPr>
      <w:fldChar w:fldCharType="begin"/>
    </w:r>
    <w:r>
      <w:rPr>
        <w:color w:val="666666"/>
        <w:sz w:val="16"/>
        <w:szCs w:val="16"/>
      </w:rPr>
      <w:instrText>NUMPAGES</w:instrText>
    </w:r>
    <w:r>
      <w:rPr>
        <w:color w:val="666666"/>
        <w:sz w:val="16"/>
        <w:szCs w:val="16"/>
      </w:rPr>
      <w:fldChar w:fldCharType="separate"/>
    </w:r>
    <w:r w:rsidR="00965C38">
      <w:rPr>
        <w:noProof/>
        <w:color w:val="666666"/>
        <w:sz w:val="16"/>
        <w:szCs w:val="16"/>
      </w:rPr>
      <w:t>2</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04C9C" w14:textId="77777777" w:rsidR="00C50C92" w:rsidRDefault="00C50C92">
      <w:r>
        <w:separator/>
      </w:r>
    </w:p>
  </w:footnote>
  <w:footnote w:type="continuationSeparator" w:id="0">
    <w:p w14:paraId="6A9AC7B1" w14:textId="77777777" w:rsidR="00C50C92" w:rsidRDefault="00C50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1D6F" w14:textId="77777777" w:rsidR="00247A75" w:rsidRDefault="00000000">
    <w:pPr>
      <w:jc w:val="right"/>
    </w:pPr>
    <w:r>
      <w:rPr>
        <w:i/>
        <w:iCs/>
        <w:color w:val="666666"/>
        <w:sz w:val="16"/>
        <w:szCs w:val="16"/>
      </w:rPr>
      <w:t>DATAL3x 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5274"/>
    <w:multiLevelType w:val="hybridMultilevel"/>
    <w:tmpl w:val="C82E1752"/>
    <w:lvl w:ilvl="0" w:tplc="04F6D05A">
      <w:start w:val="1"/>
      <w:numFmt w:val="bullet"/>
      <w:lvlText w:val="•"/>
      <w:lvlJc w:val="left"/>
      <w:pPr>
        <w:ind w:left="720" w:hanging="360"/>
      </w:pPr>
    </w:lvl>
    <w:lvl w:ilvl="1" w:tplc="8EA023F4">
      <w:numFmt w:val="decimal"/>
      <w:lvlText w:val=""/>
      <w:lvlJc w:val="left"/>
    </w:lvl>
    <w:lvl w:ilvl="2" w:tplc="97587C38">
      <w:numFmt w:val="decimal"/>
      <w:lvlText w:val=""/>
      <w:lvlJc w:val="left"/>
    </w:lvl>
    <w:lvl w:ilvl="3" w:tplc="0BC24D32">
      <w:numFmt w:val="decimal"/>
      <w:lvlText w:val=""/>
      <w:lvlJc w:val="left"/>
    </w:lvl>
    <w:lvl w:ilvl="4" w:tplc="DF72C112">
      <w:numFmt w:val="decimal"/>
      <w:lvlText w:val=""/>
      <w:lvlJc w:val="left"/>
    </w:lvl>
    <w:lvl w:ilvl="5" w:tplc="7FD6D204">
      <w:numFmt w:val="decimal"/>
      <w:lvlText w:val=""/>
      <w:lvlJc w:val="left"/>
    </w:lvl>
    <w:lvl w:ilvl="6" w:tplc="79621AFE">
      <w:numFmt w:val="decimal"/>
      <w:lvlText w:val=""/>
      <w:lvlJc w:val="left"/>
    </w:lvl>
    <w:lvl w:ilvl="7" w:tplc="C0AAAFFA">
      <w:numFmt w:val="decimal"/>
      <w:lvlText w:val=""/>
      <w:lvlJc w:val="left"/>
    </w:lvl>
    <w:lvl w:ilvl="8" w:tplc="BDB0853C">
      <w:numFmt w:val="decimal"/>
      <w:lvlText w:val=""/>
      <w:lvlJc w:val="left"/>
    </w:lvl>
  </w:abstractNum>
  <w:abstractNum w:abstractNumId="1" w15:restartNumberingAfterBreak="0">
    <w:nsid w:val="25C944AF"/>
    <w:multiLevelType w:val="hybridMultilevel"/>
    <w:tmpl w:val="776C1094"/>
    <w:lvl w:ilvl="0" w:tplc="656ECC66">
      <w:start w:val="1"/>
      <w:numFmt w:val="decimal"/>
      <w:lvlText w:val="%1."/>
      <w:lvlJc w:val="left"/>
      <w:pPr>
        <w:ind w:left="720" w:hanging="360"/>
      </w:pPr>
    </w:lvl>
    <w:lvl w:ilvl="1" w:tplc="06DC89AE">
      <w:numFmt w:val="decimal"/>
      <w:lvlText w:val=""/>
      <w:lvlJc w:val="left"/>
    </w:lvl>
    <w:lvl w:ilvl="2" w:tplc="3F5C0C2C">
      <w:numFmt w:val="decimal"/>
      <w:lvlText w:val=""/>
      <w:lvlJc w:val="left"/>
    </w:lvl>
    <w:lvl w:ilvl="3" w:tplc="3D7292EA">
      <w:numFmt w:val="decimal"/>
      <w:lvlText w:val=""/>
      <w:lvlJc w:val="left"/>
    </w:lvl>
    <w:lvl w:ilvl="4" w:tplc="A0B4AD6E">
      <w:numFmt w:val="decimal"/>
      <w:lvlText w:val=""/>
      <w:lvlJc w:val="left"/>
    </w:lvl>
    <w:lvl w:ilvl="5" w:tplc="D2BC29A8">
      <w:numFmt w:val="decimal"/>
      <w:lvlText w:val=""/>
      <w:lvlJc w:val="left"/>
    </w:lvl>
    <w:lvl w:ilvl="6" w:tplc="9F82E87E">
      <w:numFmt w:val="decimal"/>
      <w:lvlText w:val=""/>
      <w:lvlJc w:val="left"/>
    </w:lvl>
    <w:lvl w:ilvl="7" w:tplc="ED428812">
      <w:numFmt w:val="decimal"/>
      <w:lvlText w:val=""/>
      <w:lvlJc w:val="left"/>
    </w:lvl>
    <w:lvl w:ilvl="8" w:tplc="C2E2D652">
      <w:numFmt w:val="decimal"/>
      <w:lvlText w:val=""/>
      <w:lvlJc w:val="left"/>
    </w:lvl>
  </w:abstractNum>
  <w:abstractNum w:abstractNumId="2" w15:restartNumberingAfterBreak="0">
    <w:nsid w:val="7CDF5722"/>
    <w:multiLevelType w:val="hybridMultilevel"/>
    <w:tmpl w:val="F04C2CC0"/>
    <w:lvl w:ilvl="0" w:tplc="3A645B5C">
      <w:start w:val="1"/>
      <w:numFmt w:val="bullet"/>
      <w:lvlText w:val="●"/>
      <w:lvlJc w:val="left"/>
      <w:pPr>
        <w:ind w:left="720" w:hanging="360"/>
      </w:pPr>
    </w:lvl>
    <w:lvl w:ilvl="1" w:tplc="71DC7142">
      <w:start w:val="1"/>
      <w:numFmt w:val="bullet"/>
      <w:lvlText w:val="○"/>
      <w:lvlJc w:val="left"/>
      <w:pPr>
        <w:ind w:left="1440" w:hanging="360"/>
      </w:pPr>
    </w:lvl>
    <w:lvl w:ilvl="2" w:tplc="560EB908">
      <w:start w:val="1"/>
      <w:numFmt w:val="bullet"/>
      <w:lvlText w:val="■"/>
      <w:lvlJc w:val="left"/>
      <w:pPr>
        <w:ind w:left="2160" w:hanging="360"/>
      </w:pPr>
    </w:lvl>
    <w:lvl w:ilvl="3" w:tplc="FB56D676">
      <w:start w:val="1"/>
      <w:numFmt w:val="bullet"/>
      <w:lvlText w:val="●"/>
      <w:lvlJc w:val="left"/>
      <w:pPr>
        <w:ind w:left="2880" w:hanging="360"/>
      </w:pPr>
    </w:lvl>
    <w:lvl w:ilvl="4" w:tplc="10587EB0">
      <w:start w:val="1"/>
      <w:numFmt w:val="bullet"/>
      <w:lvlText w:val="○"/>
      <w:lvlJc w:val="left"/>
      <w:pPr>
        <w:ind w:left="3600" w:hanging="360"/>
      </w:pPr>
    </w:lvl>
    <w:lvl w:ilvl="5" w:tplc="85DCA8E0">
      <w:start w:val="1"/>
      <w:numFmt w:val="bullet"/>
      <w:lvlText w:val="■"/>
      <w:lvlJc w:val="left"/>
      <w:pPr>
        <w:ind w:left="4320" w:hanging="360"/>
      </w:pPr>
    </w:lvl>
    <w:lvl w:ilvl="6" w:tplc="1F86ACDE">
      <w:start w:val="1"/>
      <w:numFmt w:val="bullet"/>
      <w:lvlText w:val="●"/>
      <w:lvlJc w:val="left"/>
      <w:pPr>
        <w:ind w:left="5040" w:hanging="360"/>
      </w:pPr>
    </w:lvl>
    <w:lvl w:ilvl="7" w:tplc="2F8EE50A">
      <w:start w:val="1"/>
      <w:numFmt w:val="bullet"/>
      <w:lvlText w:val="●"/>
      <w:lvlJc w:val="left"/>
      <w:pPr>
        <w:ind w:left="5760" w:hanging="360"/>
      </w:pPr>
    </w:lvl>
    <w:lvl w:ilvl="8" w:tplc="3D4CDD1C">
      <w:start w:val="1"/>
      <w:numFmt w:val="bullet"/>
      <w:lvlText w:val="●"/>
      <w:lvlJc w:val="left"/>
      <w:pPr>
        <w:ind w:left="6480" w:hanging="360"/>
      </w:pPr>
    </w:lvl>
  </w:abstractNum>
  <w:num w:numId="1" w16cid:durableId="588470634">
    <w:abstractNumId w:val="2"/>
    <w:lvlOverride w:ilvl="0">
      <w:startOverride w:val="1"/>
    </w:lvlOverride>
  </w:num>
  <w:num w:numId="2" w16cid:durableId="955720500">
    <w:abstractNumId w:val="1"/>
    <w:lvlOverride w:ilvl="0">
      <w:startOverride w:val="1"/>
    </w:lvlOverride>
  </w:num>
  <w:num w:numId="3" w16cid:durableId="14155905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A75"/>
    <w:rsid w:val="00116801"/>
    <w:rsid w:val="00247A75"/>
    <w:rsid w:val="00330B18"/>
    <w:rsid w:val="005732BC"/>
    <w:rsid w:val="00724622"/>
    <w:rsid w:val="00965C38"/>
    <w:rsid w:val="00C50C92"/>
    <w:rsid w:val="00C8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D981E"/>
  <w15:docId w15:val="{2BBB29EE-8A41-429A-9BC9-2195A0A9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096B5A"/>
      <w:sz w:val="32"/>
      <w:szCs w:val="32"/>
    </w:rPr>
  </w:style>
  <w:style w:type="paragraph" w:styleId="Heading2">
    <w:name w:val="heading 2"/>
    <w:uiPriority w:val="9"/>
    <w:unhideWhenUsed/>
    <w:qFormat/>
    <w:pPr>
      <w:spacing w:before="240" w:after="120"/>
      <w:outlineLvl w:val="1"/>
    </w:pPr>
    <w:rPr>
      <w:b/>
      <w:bCs/>
      <w:sz w:val="26"/>
      <w:szCs w:val="26"/>
    </w:rPr>
  </w:style>
  <w:style w:type="paragraph" w:styleId="Heading3">
    <w:name w:val="heading 3"/>
    <w:uiPriority w:val="9"/>
    <w:semiHidden/>
    <w:unhideWhenUsed/>
    <w:qFormat/>
    <w:pPr>
      <w:spacing w:before="180" w:after="100"/>
      <w:outlineLvl w:val="2"/>
    </w:pPr>
    <w:rPr>
      <w:b/>
      <w:bCs/>
      <w:color w:val="66666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120"/>
    </w:pPr>
    <w:rPr>
      <w:b/>
      <w:bCs/>
      <w:color w:val="096B5A"/>
      <w:sz w:val="48"/>
      <w:szCs w:val="48"/>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7ba5c36-b7cf-4793-bbc2-bd5b3a9f95ca}" enabled="1" method="Privilege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1327</Words>
  <Characters>7564</Characters>
  <Application>Microsoft Office Word</Application>
  <DocSecurity>0</DocSecurity>
  <Lines>63</Lines>
  <Paragraphs>17</Paragraphs>
  <ScaleCrop>false</ScaleCrop>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Alexandre Matos Martins</cp:lastModifiedBy>
  <cp:revision>4</cp:revision>
  <dcterms:created xsi:type="dcterms:W3CDTF">2026-02-16T19:34:00Z</dcterms:created>
  <dcterms:modified xsi:type="dcterms:W3CDTF">2026-02-16T23:18:00Z</dcterms:modified>
</cp:coreProperties>
</file>